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34" w:rsidRDefault="00CF3234" w:rsidP="00CF3234">
      <w:pPr>
        <w:pStyle w:val="NormalWeb"/>
        <w:shd w:val="clear" w:color="auto" w:fill="FFFFFF"/>
        <w:spacing w:before="0" w:beforeAutospacing="0" w:after="0" w:afterAutospacing="0"/>
        <w:rPr>
          <w:rFonts w:ascii="Arial" w:hAnsi="Arial" w:cs="Arial"/>
          <w:color w:val="000000"/>
          <w:sz w:val="21"/>
          <w:szCs w:val="21"/>
        </w:rPr>
      </w:pPr>
      <w:bookmarkStart w:id="0" w:name="_GoBack"/>
      <w:bookmarkEnd w:id="0"/>
      <w:r>
        <w:rPr>
          <w:rFonts w:ascii="Arial" w:hAnsi="Arial" w:cs="Arial"/>
          <w:b/>
          <w:bCs/>
          <w:color w:val="000000"/>
          <w:sz w:val="21"/>
          <w:szCs w:val="21"/>
        </w:rPr>
        <w:t xml:space="preserve">2025 Yılı Katı Atıkların Toplanması, Taşınması, Geri </w:t>
      </w:r>
      <w:proofErr w:type="gramStart"/>
      <w:r>
        <w:rPr>
          <w:rFonts w:ascii="Arial" w:hAnsi="Arial" w:cs="Arial"/>
          <w:b/>
          <w:bCs/>
          <w:color w:val="000000"/>
          <w:sz w:val="21"/>
          <w:szCs w:val="21"/>
        </w:rPr>
        <w:t>Kazanımı,</w:t>
      </w:r>
      <w:proofErr w:type="gramEnd"/>
      <w:r>
        <w:rPr>
          <w:rFonts w:ascii="Arial" w:hAnsi="Arial" w:cs="Arial"/>
          <w:b/>
          <w:bCs/>
          <w:color w:val="000000"/>
          <w:sz w:val="21"/>
          <w:szCs w:val="21"/>
        </w:rPr>
        <w:t xml:space="preserve"> ve Bertarafı (Giderimi) ile İlgili Projelerin Asgari Ücretleri</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w:t>
      </w:r>
    </w:p>
    <w:p w:rsidR="00CD3CC1" w:rsidRDefault="00CF3234" w:rsidP="00CD3CC1">
      <w:pPr>
        <w:pStyle w:val="NormalWeb"/>
        <w:shd w:val="clear" w:color="auto" w:fill="FFFFFF"/>
        <w:spacing w:before="0" w:beforeAutospacing="0" w:after="300" w:afterAutospacing="0"/>
        <w:ind w:firstLine="426"/>
        <w:jc w:val="both"/>
        <w:rPr>
          <w:rFonts w:ascii="Arial" w:hAnsi="Arial" w:cs="Arial"/>
          <w:color w:val="000000"/>
          <w:sz w:val="21"/>
          <w:szCs w:val="21"/>
        </w:rPr>
      </w:pPr>
      <w:r>
        <w:rPr>
          <w:rFonts w:ascii="Arial" w:hAnsi="Arial" w:cs="Arial"/>
          <w:color w:val="000000"/>
          <w:sz w:val="21"/>
          <w:szCs w:val="21"/>
        </w:rPr>
        <w:t xml:space="preserve">Katı atıkların yönetimi süreci; atıkların toplanması, taşınması ve geri kazanımı ile bertaraf yöntemlerinin tümünü kapsayan bütünleşik bir yaklaşımdır. Atıkların toplanması, taşınması, geri kazanılması, kompostlaştırılması, yakılması ve diğer bertaraf yöntemlerinde projelendirme ölçütü atık hacmidir. Ancak, düzenli depolamanın projelendirilmesinde esas olan ölçüt deponi sahasının toplam alanıdır. Buna göre, </w:t>
      </w:r>
    </w:p>
    <w:p w:rsidR="00CF3234" w:rsidRDefault="00CD3CC1" w:rsidP="00CF3234">
      <w:pPr>
        <w:pStyle w:val="NormalWeb"/>
        <w:numPr>
          <w:ilvl w:val="0"/>
          <w:numId w:val="1"/>
        </w:numPr>
        <w:shd w:val="clear" w:color="auto" w:fill="FFFFFF"/>
        <w:spacing w:before="0" w:beforeAutospacing="0" w:after="300" w:afterAutospacing="0"/>
        <w:ind w:left="426"/>
        <w:jc w:val="both"/>
        <w:rPr>
          <w:rFonts w:ascii="Arial" w:hAnsi="Arial" w:cs="Arial"/>
          <w:color w:val="000000"/>
          <w:sz w:val="21"/>
          <w:szCs w:val="21"/>
        </w:rPr>
      </w:pPr>
      <w:r>
        <w:rPr>
          <w:rFonts w:ascii="Arial" w:hAnsi="Arial" w:cs="Arial"/>
          <w:color w:val="000000"/>
          <w:sz w:val="21"/>
          <w:szCs w:val="21"/>
        </w:rPr>
        <w:t>P</w:t>
      </w:r>
      <w:r w:rsidR="00CF3234">
        <w:rPr>
          <w:rFonts w:ascii="Arial" w:hAnsi="Arial" w:cs="Arial"/>
          <w:color w:val="000000"/>
          <w:sz w:val="21"/>
          <w:szCs w:val="21"/>
        </w:rPr>
        <w:t>rojelendirme ölçütü olarak atık hacmi esas alınması halinde Katı Atık Proje Bedeli (KAPB) aşağıdaki şekilde hesaplanır:</w:t>
      </w:r>
    </w:p>
    <w:p w:rsidR="00CF3234" w:rsidRDefault="00CF3234" w:rsidP="00CF3234">
      <w:pPr>
        <w:pStyle w:val="NormalWeb"/>
        <w:shd w:val="clear" w:color="auto" w:fill="FFFFFF"/>
        <w:spacing w:before="0" w:beforeAutospacing="0" w:after="300" w:afterAutospacing="0"/>
        <w:jc w:val="both"/>
        <w:rPr>
          <w:rFonts w:ascii="Arial" w:hAnsi="Arial" w:cs="Arial"/>
          <w:color w:val="000000"/>
          <w:sz w:val="21"/>
          <w:szCs w:val="21"/>
        </w:rPr>
      </w:pPr>
      <w:r>
        <w:rPr>
          <w:rFonts w:ascii="Arial" w:hAnsi="Arial" w:cs="Arial"/>
          <w:color w:val="000000"/>
          <w:sz w:val="21"/>
          <w:szCs w:val="21"/>
        </w:rPr>
        <w:t>KAPB = B1 * M * (1 + y1 + y2 + y3 + y4 + y5) * T * (1 + p1 + p2 + p3 + p4) </w:t>
      </w:r>
    </w:p>
    <w:p w:rsidR="00CF3234" w:rsidRDefault="00CF3234" w:rsidP="00CF3234">
      <w:pPr>
        <w:pStyle w:val="NormalWeb"/>
        <w:numPr>
          <w:ilvl w:val="0"/>
          <w:numId w:val="1"/>
        </w:numPr>
        <w:shd w:val="clear" w:color="auto" w:fill="FFFFFF"/>
        <w:spacing w:before="0" w:beforeAutospacing="0" w:after="300" w:afterAutospacing="0"/>
        <w:ind w:left="462"/>
        <w:jc w:val="both"/>
        <w:rPr>
          <w:rFonts w:ascii="Arial" w:hAnsi="Arial" w:cs="Arial"/>
          <w:color w:val="000000"/>
          <w:sz w:val="21"/>
          <w:szCs w:val="21"/>
        </w:rPr>
      </w:pPr>
      <w:r>
        <w:rPr>
          <w:rFonts w:ascii="Arial" w:hAnsi="Arial" w:cs="Arial"/>
          <w:color w:val="000000"/>
          <w:sz w:val="21"/>
          <w:szCs w:val="21"/>
        </w:rPr>
        <w:t>Projelendirme ölçütü olarak Düzenli depolama sahası toplam alanı esas alınması halinde ise Katı Atık Proje Bedeli (KAPB) aşağıdaki şekilde hesaplanır:</w:t>
      </w:r>
    </w:p>
    <w:p w:rsidR="00CF3234" w:rsidRDefault="00CF3234" w:rsidP="00CF3234">
      <w:pPr>
        <w:pStyle w:val="NormalWeb"/>
        <w:shd w:val="clear" w:color="auto" w:fill="FFFFFF"/>
        <w:spacing w:before="0" w:beforeAutospacing="0" w:after="300" w:afterAutospacing="0"/>
        <w:jc w:val="both"/>
        <w:rPr>
          <w:rFonts w:ascii="Arial" w:hAnsi="Arial" w:cs="Arial"/>
          <w:color w:val="000000"/>
          <w:sz w:val="21"/>
          <w:szCs w:val="21"/>
        </w:rPr>
      </w:pPr>
      <w:r>
        <w:rPr>
          <w:rFonts w:ascii="Arial" w:hAnsi="Arial" w:cs="Arial"/>
          <w:color w:val="000000"/>
          <w:sz w:val="21"/>
          <w:szCs w:val="21"/>
        </w:rPr>
        <w:t>KAPB = B2 * A * (1.35) * T * (1 + p1 + p2 + p3 + p4)</w:t>
      </w:r>
    </w:p>
    <w:p w:rsidR="00CF3234" w:rsidRDefault="00CF3234" w:rsidP="00CF3234">
      <w:pPr>
        <w:pStyle w:val="NormalWeb"/>
        <w:shd w:val="clear" w:color="auto" w:fill="FFFFFF"/>
        <w:spacing w:before="0" w:beforeAutospacing="0" w:after="300" w:afterAutospacing="0"/>
        <w:jc w:val="both"/>
        <w:rPr>
          <w:rFonts w:ascii="Arial" w:hAnsi="Arial" w:cs="Arial"/>
          <w:color w:val="000000"/>
          <w:sz w:val="21"/>
          <w:szCs w:val="21"/>
        </w:rPr>
      </w:pPr>
      <w:r>
        <w:rPr>
          <w:rFonts w:ascii="Arial" w:hAnsi="Arial" w:cs="Arial"/>
          <w:color w:val="000000"/>
          <w:sz w:val="21"/>
          <w:szCs w:val="21"/>
        </w:rPr>
        <w:t>A =  Deponi sahası toplam alanı ha (hektar)</w:t>
      </w:r>
    </w:p>
    <w:p w:rsidR="00CF3234" w:rsidRDefault="00CF3234" w:rsidP="00CF3234">
      <w:pPr>
        <w:pStyle w:val="NormalWeb"/>
        <w:shd w:val="clear" w:color="auto" w:fill="FFFFFF"/>
        <w:spacing w:before="0" w:beforeAutospacing="0" w:after="300" w:afterAutospacing="0"/>
        <w:jc w:val="both"/>
        <w:rPr>
          <w:rFonts w:ascii="Arial" w:hAnsi="Arial" w:cs="Arial"/>
          <w:color w:val="000000"/>
          <w:sz w:val="21"/>
          <w:szCs w:val="21"/>
        </w:rPr>
      </w:pPr>
      <w:r>
        <w:rPr>
          <w:rFonts w:ascii="Arial" w:hAnsi="Arial" w:cs="Arial"/>
          <w:color w:val="000000"/>
          <w:sz w:val="21"/>
          <w:szCs w:val="21"/>
        </w:rPr>
        <w:t xml:space="preserve">B1 = Birim Proje Bedeli (Oda Yönetim Kurulu tarafından, idarelerin ve ilgili sektör temsilcilerinin  uygulamaları </w:t>
      </w:r>
      <w:proofErr w:type="spellStart"/>
      <w:r>
        <w:rPr>
          <w:rFonts w:ascii="Arial" w:hAnsi="Arial" w:cs="Arial"/>
          <w:color w:val="000000"/>
          <w:sz w:val="21"/>
          <w:szCs w:val="21"/>
        </w:rPr>
        <w:t>gözönüne</w:t>
      </w:r>
      <w:proofErr w:type="spellEnd"/>
      <w:r>
        <w:rPr>
          <w:rFonts w:ascii="Arial" w:hAnsi="Arial" w:cs="Arial"/>
          <w:color w:val="000000"/>
          <w:sz w:val="21"/>
          <w:szCs w:val="21"/>
        </w:rPr>
        <w:t xml:space="preserve"> alınarak belirlenir.)</w:t>
      </w:r>
    </w:p>
    <w:p w:rsidR="00CF3234" w:rsidRDefault="00CF3234" w:rsidP="00CF3234">
      <w:pPr>
        <w:pStyle w:val="NormalWeb"/>
        <w:shd w:val="clear" w:color="auto" w:fill="FFFFFF"/>
        <w:spacing w:before="0" w:beforeAutospacing="0" w:after="300" w:afterAutospacing="0"/>
        <w:jc w:val="both"/>
        <w:rPr>
          <w:rFonts w:ascii="Arial" w:hAnsi="Arial" w:cs="Arial"/>
          <w:color w:val="000000"/>
          <w:sz w:val="21"/>
          <w:szCs w:val="21"/>
        </w:rPr>
      </w:pPr>
      <w:r>
        <w:rPr>
          <w:rFonts w:ascii="Arial" w:hAnsi="Arial" w:cs="Arial"/>
          <w:color w:val="000000"/>
          <w:sz w:val="21"/>
          <w:szCs w:val="21"/>
        </w:rPr>
        <w:t>B2= Birim Proje Bedeli 12 *106 (TL/ha)</w:t>
      </w:r>
    </w:p>
    <w:p w:rsidR="00CF3234" w:rsidRDefault="00CF3234" w:rsidP="00CF3234">
      <w:pPr>
        <w:pStyle w:val="NormalWeb"/>
        <w:shd w:val="clear" w:color="auto" w:fill="FFFFFF"/>
        <w:spacing w:before="0" w:beforeAutospacing="0" w:after="300" w:afterAutospacing="0"/>
        <w:jc w:val="both"/>
        <w:rPr>
          <w:rFonts w:ascii="Arial" w:hAnsi="Arial" w:cs="Arial"/>
          <w:color w:val="000000"/>
          <w:sz w:val="21"/>
          <w:szCs w:val="21"/>
        </w:rPr>
      </w:pPr>
      <w:r>
        <w:rPr>
          <w:rFonts w:ascii="Arial" w:hAnsi="Arial" w:cs="Arial"/>
          <w:color w:val="000000"/>
          <w:sz w:val="21"/>
          <w:szCs w:val="21"/>
        </w:rPr>
        <w:t>M =  Atık miktarı, ton/yıl   (projede öngörülen katı atık miktarı)</w:t>
      </w:r>
    </w:p>
    <w:p w:rsidR="00CF3234" w:rsidRDefault="00CF3234" w:rsidP="00CF3234">
      <w:pPr>
        <w:pStyle w:val="NormalWeb"/>
        <w:shd w:val="clear" w:color="auto" w:fill="FFFFFF"/>
        <w:spacing w:before="0" w:beforeAutospacing="0" w:after="300" w:afterAutospacing="0"/>
        <w:jc w:val="both"/>
        <w:rPr>
          <w:rFonts w:ascii="Arial" w:hAnsi="Arial" w:cs="Arial"/>
          <w:color w:val="000000"/>
          <w:sz w:val="21"/>
          <w:szCs w:val="21"/>
        </w:rPr>
      </w:pPr>
      <w:r>
        <w:rPr>
          <w:rFonts w:ascii="Arial" w:hAnsi="Arial" w:cs="Arial"/>
          <w:color w:val="000000"/>
          <w:sz w:val="21"/>
          <w:szCs w:val="21"/>
        </w:rPr>
        <w:t> </w:t>
      </w:r>
    </w:p>
    <w:p w:rsidR="00CF3234" w:rsidRDefault="00CF3234" w:rsidP="00CF3234">
      <w:pPr>
        <w:pStyle w:val="NormalWeb"/>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 </w:t>
      </w:r>
      <w:r w:rsidR="00A64EBB">
        <w:rPr>
          <w:rFonts w:ascii="Arial" w:hAnsi="Arial" w:cs="Arial"/>
          <w:b/>
          <w:bCs/>
          <w:color w:val="000000"/>
          <w:sz w:val="21"/>
          <w:szCs w:val="21"/>
        </w:rPr>
        <w:t xml:space="preserve">2025 Yılı </w:t>
      </w:r>
      <w:r>
        <w:rPr>
          <w:rFonts w:ascii="Arial" w:hAnsi="Arial" w:cs="Arial"/>
          <w:b/>
          <w:bCs/>
          <w:color w:val="000000"/>
          <w:sz w:val="21"/>
          <w:szCs w:val="21"/>
        </w:rPr>
        <w:t>MxB1 Değerleri</w:t>
      </w:r>
    </w:p>
    <w:p w:rsidR="00A64EBB" w:rsidRDefault="00A64EBB" w:rsidP="00CF3234">
      <w:pPr>
        <w:pStyle w:val="NormalWeb"/>
        <w:shd w:val="clear" w:color="auto" w:fill="FFFFFF"/>
        <w:spacing w:before="0" w:beforeAutospacing="0" w:after="0" w:afterAutospacing="0"/>
        <w:rPr>
          <w:rFonts w:ascii="Arial" w:hAnsi="Arial" w:cs="Arial"/>
          <w:color w:val="000000"/>
          <w:sz w:val="21"/>
          <w:szCs w:val="21"/>
        </w:rPr>
      </w:pPr>
    </w:p>
    <w:tbl>
      <w:tblPr>
        <w:tblStyle w:val="TabloKlavuzu"/>
        <w:tblW w:w="0" w:type="auto"/>
        <w:tblLook w:val="04A0" w:firstRow="1" w:lastRow="0" w:firstColumn="1" w:lastColumn="0" w:noHBand="0" w:noVBand="1"/>
      </w:tblPr>
      <w:tblGrid>
        <w:gridCol w:w="3745"/>
        <w:gridCol w:w="3054"/>
      </w:tblGrid>
      <w:tr w:rsidR="00A64EBB" w:rsidTr="003A1B46">
        <w:trPr>
          <w:trHeight w:val="236"/>
        </w:trPr>
        <w:tc>
          <w:tcPr>
            <w:tcW w:w="3745" w:type="dxa"/>
          </w:tcPr>
          <w:p w:rsidR="00A64EBB" w:rsidRDefault="00A64EBB" w:rsidP="00CF3234">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Nüfus Aralığı</w:t>
            </w:r>
          </w:p>
        </w:tc>
        <w:tc>
          <w:tcPr>
            <w:tcW w:w="3054" w:type="dxa"/>
          </w:tcPr>
          <w:p w:rsidR="00A64EBB" w:rsidRDefault="00A64EBB" w:rsidP="003A1B46">
            <w:pPr>
              <w:pStyle w:val="NormalWeb"/>
              <w:spacing w:before="0" w:beforeAutospacing="0" w:after="0" w:afterAutospacing="0"/>
              <w:jc w:val="right"/>
              <w:rPr>
                <w:rFonts w:ascii="Arial" w:hAnsi="Arial" w:cs="Arial"/>
                <w:color w:val="000000"/>
                <w:sz w:val="21"/>
                <w:szCs w:val="21"/>
              </w:rPr>
            </w:pPr>
            <w:r>
              <w:rPr>
                <w:rFonts w:ascii="Arial" w:hAnsi="Arial" w:cs="Arial"/>
                <w:color w:val="000000"/>
                <w:sz w:val="21"/>
                <w:szCs w:val="21"/>
              </w:rPr>
              <w:t>MxB1</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10000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91.500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10.001-20.000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174.300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20.001-30.000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248.975</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30.001-40.000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316.200</w:t>
            </w:r>
          </w:p>
        </w:tc>
      </w:tr>
      <w:tr w:rsidR="003A1B46" w:rsidTr="003A1B46">
        <w:trPr>
          <w:trHeight w:val="256"/>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40.001-50.000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376.425</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50.001-75.000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451.700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75.001-100.000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481.800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100.001-150.000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578.150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150.001-200.000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616.725</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200.001-250.000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693.800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250.001-300.000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749.300</w:t>
            </w:r>
          </w:p>
        </w:tc>
      </w:tr>
      <w:tr w:rsidR="003A1B46" w:rsidTr="003A1B46">
        <w:trPr>
          <w:trHeight w:val="256"/>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300.001-350.000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786.750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350.001-400.000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809.250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400.001-450.000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864.875</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450.001-500.000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912.925</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500.001-600.000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985.950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600.001-700.000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1.035.275</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700.001-800.000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1.064.825</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800.001-900.000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1.138.025</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900.001-1.000.000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1.201.250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1.000.001-2.000.000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1.441.525</w:t>
            </w:r>
          </w:p>
        </w:tc>
      </w:tr>
      <w:tr w:rsidR="003A1B46" w:rsidTr="003A1B46">
        <w:trPr>
          <w:trHeight w:val="256"/>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2.000.001-3.000.000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1.513.600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3.000.001-4.000.000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1.614.500</w:t>
            </w:r>
          </w:p>
        </w:tc>
      </w:tr>
      <w:tr w:rsidR="003A1B46" w:rsidTr="003A1B46">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4.000.001-5.000.000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1.816.325</w:t>
            </w:r>
          </w:p>
        </w:tc>
      </w:tr>
    </w:tbl>
    <w:p w:rsidR="00A64EBB" w:rsidRDefault="00A64EBB" w:rsidP="00CF3234">
      <w:pPr>
        <w:pStyle w:val="NormalWeb"/>
        <w:shd w:val="clear" w:color="auto" w:fill="FFFFFF"/>
        <w:spacing w:before="0" w:beforeAutospacing="0" w:after="0" w:afterAutospacing="0"/>
        <w:rPr>
          <w:rFonts w:ascii="Arial" w:hAnsi="Arial" w:cs="Arial"/>
          <w:color w:val="000000"/>
          <w:sz w:val="21"/>
          <w:szCs w:val="21"/>
        </w:rPr>
      </w:pPr>
    </w:p>
    <w:p w:rsidR="00A64EBB" w:rsidRDefault="00A64EBB" w:rsidP="00CF3234">
      <w:pPr>
        <w:pStyle w:val="NormalWeb"/>
        <w:shd w:val="clear" w:color="auto" w:fill="FFFFFF"/>
        <w:spacing w:before="0" w:beforeAutospacing="0" w:after="0" w:afterAutospacing="0"/>
        <w:rPr>
          <w:rFonts w:ascii="Arial" w:hAnsi="Arial" w:cs="Arial"/>
          <w:color w:val="000000"/>
          <w:sz w:val="21"/>
          <w:szCs w:val="21"/>
        </w:rPr>
      </w:pPr>
    </w:p>
    <w:p w:rsidR="00A64EBB" w:rsidRDefault="00A64EBB" w:rsidP="00CF3234">
      <w:pPr>
        <w:pStyle w:val="NormalWeb"/>
        <w:shd w:val="clear" w:color="auto" w:fill="FFFFFF"/>
        <w:spacing w:before="0" w:beforeAutospacing="0" w:after="0" w:afterAutospacing="0"/>
        <w:rPr>
          <w:rFonts w:ascii="Arial" w:hAnsi="Arial" w:cs="Arial"/>
          <w:color w:val="000000"/>
          <w:sz w:val="21"/>
          <w:szCs w:val="21"/>
        </w:rPr>
      </w:pPr>
    </w:p>
    <w:p w:rsidR="00A64EBB" w:rsidRDefault="00A64EBB" w:rsidP="00CF3234">
      <w:pPr>
        <w:pStyle w:val="NormalWeb"/>
        <w:shd w:val="clear" w:color="auto" w:fill="FFFFFF"/>
        <w:spacing w:before="0" w:beforeAutospacing="0" w:after="0" w:afterAutospacing="0"/>
        <w:rPr>
          <w:rFonts w:ascii="Arial" w:hAnsi="Arial" w:cs="Arial"/>
          <w:color w:val="000000"/>
          <w:sz w:val="21"/>
          <w:szCs w:val="21"/>
        </w:rPr>
      </w:pPr>
    </w:p>
    <w:p w:rsidR="00CF3234" w:rsidRDefault="003A1B46" w:rsidP="00CF3234">
      <w:pPr>
        <w:pStyle w:val="NormalWeb"/>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2025</w:t>
      </w:r>
      <w:r w:rsidR="00CF3234">
        <w:rPr>
          <w:rFonts w:ascii="Arial" w:hAnsi="Arial" w:cs="Arial"/>
          <w:b/>
          <w:bCs/>
          <w:color w:val="000000"/>
          <w:sz w:val="21"/>
          <w:szCs w:val="21"/>
        </w:rPr>
        <w:t xml:space="preserve"> yılı için B2xA Değerleri</w:t>
      </w:r>
    </w:p>
    <w:p w:rsidR="003A1B46" w:rsidRDefault="003A1B46" w:rsidP="00CF3234">
      <w:pPr>
        <w:pStyle w:val="NormalWeb"/>
        <w:shd w:val="clear" w:color="auto" w:fill="FFFFFF"/>
        <w:spacing w:before="0" w:beforeAutospacing="0" w:after="0" w:afterAutospacing="0"/>
        <w:rPr>
          <w:rFonts w:ascii="Arial" w:hAnsi="Arial" w:cs="Arial"/>
          <w:color w:val="000000"/>
          <w:sz w:val="21"/>
          <w:szCs w:val="21"/>
        </w:rPr>
      </w:pPr>
    </w:p>
    <w:tbl>
      <w:tblPr>
        <w:tblStyle w:val="TabloKlavuzu"/>
        <w:tblW w:w="0" w:type="auto"/>
        <w:tblLook w:val="04A0" w:firstRow="1" w:lastRow="0" w:firstColumn="1" w:lastColumn="0" w:noHBand="0" w:noVBand="1"/>
      </w:tblPr>
      <w:tblGrid>
        <w:gridCol w:w="3745"/>
        <w:gridCol w:w="3054"/>
      </w:tblGrid>
      <w:tr w:rsidR="003A1B46" w:rsidTr="0027676F">
        <w:trPr>
          <w:trHeight w:val="236"/>
        </w:trPr>
        <w:tc>
          <w:tcPr>
            <w:tcW w:w="3745" w:type="dxa"/>
          </w:tcPr>
          <w:p w:rsidR="003A1B46" w:rsidRDefault="003A1B46" w:rsidP="0027676F">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Hektar (Ha)</w:t>
            </w:r>
          </w:p>
        </w:tc>
        <w:tc>
          <w:tcPr>
            <w:tcW w:w="3054" w:type="dxa"/>
          </w:tcPr>
          <w:p w:rsidR="003A1B46" w:rsidRDefault="003A1B46" w:rsidP="0027676F">
            <w:pPr>
              <w:pStyle w:val="NormalWeb"/>
              <w:spacing w:before="0" w:beforeAutospacing="0" w:after="0" w:afterAutospacing="0"/>
              <w:jc w:val="right"/>
              <w:rPr>
                <w:rFonts w:ascii="Arial" w:hAnsi="Arial" w:cs="Arial"/>
                <w:color w:val="000000"/>
                <w:sz w:val="21"/>
                <w:szCs w:val="21"/>
              </w:rPr>
            </w:pPr>
            <w:r>
              <w:rPr>
                <w:rFonts w:ascii="Arial" w:hAnsi="Arial" w:cs="Arial"/>
                <w:color w:val="000000"/>
                <w:sz w:val="21"/>
                <w:szCs w:val="21"/>
              </w:rPr>
              <w:t>MxB1</w:t>
            </w:r>
          </w:p>
        </w:tc>
      </w:tr>
      <w:tr w:rsidR="003A1B46" w:rsidTr="0027676F">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1-5</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276.725</w:t>
            </w:r>
          </w:p>
        </w:tc>
      </w:tr>
      <w:tr w:rsidR="003A1B46" w:rsidTr="0027676F">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6-10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343.750</w:t>
            </w:r>
          </w:p>
        </w:tc>
      </w:tr>
      <w:tr w:rsidR="003A1B46" w:rsidTr="0027676F">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11-15</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399.075</w:t>
            </w:r>
          </w:p>
        </w:tc>
      </w:tr>
      <w:tr w:rsidR="003A1B46" w:rsidTr="0027676F">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16-20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411.225</w:t>
            </w:r>
          </w:p>
        </w:tc>
      </w:tr>
      <w:tr w:rsidR="003A1B46" w:rsidTr="0027676F">
        <w:trPr>
          <w:trHeight w:val="256"/>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21-25</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441.250</w:t>
            </w:r>
          </w:p>
        </w:tc>
      </w:tr>
      <w:tr w:rsidR="003A1B46" w:rsidTr="0027676F">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26-30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455.650</w:t>
            </w:r>
          </w:p>
        </w:tc>
      </w:tr>
      <w:tr w:rsidR="003A1B46" w:rsidTr="0027676F">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31-35</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467.550</w:t>
            </w:r>
          </w:p>
        </w:tc>
      </w:tr>
      <w:tr w:rsidR="003A1B46" w:rsidTr="0027676F">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36-40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470.775</w:t>
            </w:r>
          </w:p>
        </w:tc>
      </w:tr>
      <w:tr w:rsidR="003A1B46" w:rsidTr="0027676F">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41-45</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477.150</w:t>
            </w:r>
          </w:p>
        </w:tc>
      </w:tr>
      <w:tr w:rsidR="003A1B46" w:rsidTr="0027676F">
        <w:trPr>
          <w:trHeight w:val="265"/>
        </w:trPr>
        <w:tc>
          <w:tcPr>
            <w:tcW w:w="3745" w:type="dxa"/>
          </w:tcPr>
          <w:p w:rsidR="003A1B46" w:rsidRDefault="003A1B46" w:rsidP="003A1B4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46-50</w:t>
            </w:r>
          </w:p>
        </w:tc>
        <w:tc>
          <w:tcPr>
            <w:tcW w:w="3054" w:type="dxa"/>
            <w:vAlign w:val="bottom"/>
          </w:tcPr>
          <w:p w:rsidR="003A1B46" w:rsidRDefault="003A1B46" w:rsidP="003A1B46">
            <w:pPr>
              <w:jc w:val="right"/>
              <w:rPr>
                <w:rFonts w:ascii="Calibri" w:hAnsi="Calibri" w:cs="Calibri"/>
                <w:color w:val="000000"/>
              </w:rPr>
            </w:pPr>
            <w:r>
              <w:rPr>
                <w:rFonts w:ascii="Calibri" w:hAnsi="Calibri" w:cs="Calibri"/>
                <w:color w:val="000000"/>
              </w:rPr>
              <w:t>481.975</w:t>
            </w:r>
          </w:p>
        </w:tc>
      </w:tr>
    </w:tbl>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y</w:t>
      </w:r>
      <w:proofErr w:type="gramEnd"/>
      <w:r>
        <w:rPr>
          <w:rFonts w:ascii="Arial" w:hAnsi="Arial" w:cs="Arial"/>
          <w:color w:val="000000"/>
          <w:sz w:val="21"/>
          <w:szCs w:val="21"/>
        </w:rPr>
        <w:t xml:space="preserve">  =  Atık Bertaraf Yöntemi Katsayısı</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y1 = Atık Toplama ve Taşıma           = 0,10</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y2 = Geri Kazanım Tesisi                  = 0,15</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y3 = </w:t>
      </w:r>
      <w:proofErr w:type="spellStart"/>
      <w:r>
        <w:rPr>
          <w:rFonts w:ascii="Arial" w:hAnsi="Arial" w:cs="Arial"/>
          <w:color w:val="000000"/>
          <w:sz w:val="21"/>
          <w:szCs w:val="21"/>
        </w:rPr>
        <w:t>Kompost</w:t>
      </w:r>
      <w:proofErr w:type="spellEnd"/>
      <w:r>
        <w:rPr>
          <w:rFonts w:ascii="Arial" w:hAnsi="Arial" w:cs="Arial"/>
          <w:color w:val="000000"/>
          <w:sz w:val="21"/>
          <w:szCs w:val="21"/>
        </w:rPr>
        <w:t xml:space="preserve"> Tesisi                          = 0,20</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y4 = Yakma                                       = 0,5</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y5 = Diğer Bertaraf Yöntemleri         = 0,2</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T  = Atık Türü Katsayısı</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Evsel,              T = 1</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p</w:t>
      </w:r>
      <w:proofErr w:type="gramEnd"/>
      <w:r>
        <w:rPr>
          <w:rFonts w:ascii="Arial" w:hAnsi="Arial" w:cs="Arial"/>
          <w:color w:val="000000"/>
          <w:sz w:val="21"/>
          <w:szCs w:val="21"/>
        </w:rPr>
        <w:t xml:space="preserve">  = Proje Türü Katsayısı</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p1 = </w:t>
      </w:r>
      <w:proofErr w:type="spellStart"/>
      <w:r>
        <w:rPr>
          <w:rFonts w:ascii="Arial" w:hAnsi="Arial" w:cs="Arial"/>
          <w:color w:val="000000"/>
          <w:sz w:val="21"/>
          <w:szCs w:val="21"/>
        </w:rPr>
        <w:t>Etüd</w:t>
      </w:r>
      <w:proofErr w:type="spellEnd"/>
      <w:r>
        <w:rPr>
          <w:rFonts w:ascii="Arial" w:hAnsi="Arial" w:cs="Arial"/>
          <w:color w:val="000000"/>
          <w:sz w:val="21"/>
          <w:szCs w:val="21"/>
        </w:rPr>
        <w:t xml:space="preserve"> / Fizibilite                = 0,15</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p2 = Avan Proje                     = 0,25</w:t>
      </w:r>
    </w:p>
    <w:p w:rsidR="00CF3234" w:rsidRDefault="00CF3234" w:rsidP="00CF3234">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p3 = Uygulama Projesi          = 0,50</w:t>
      </w:r>
    </w:p>
    <w:p w:rsidR="00CE12D1" w:rsidRPr="003A1B46" w:rsidRDefault="00CF3234" w:rsidP="003A1B46">
      <w:pPr>
        <w:pStyle w:val="NormalWeb"/>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p4 = İhale Şartnameleri         = 0,10</w:t>
      </w:r>
    </w:p>
    <w:sectPr w:rsidR="00CE12D1" w:rsidRPr="003A1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B4638"/>
    <w:multiLevelType w:val="hybridMultilevel"/>
    <w:tmpl w:val="16541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34"/>
    <w:rsid w:val="003A1B46"/>
    <w:rsid w:val="007E675F"/>
    <w:rsid w:val="00A64EBB"/>
    <w:rsid w:val="00CD3CC1"/>
    <w:rsid w:val="00CE12D1"/>
    <w:rsid w:val="00CF3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1235C-2B09-4559-9BCA-2AEF3CAE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F32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CF3234"/>
  </w:style>
  <w:style w:type="table" w:styleId="TabloKlavuzu">
    <w:name w:val="Table Grid"/>
    <w:basedOn w:val="NormalTablo"/>
    <w:uiPriority w:val="39"/>
    <w:rsid w:val="00A6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C7FF-539E-4581-A7BA-F376E652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Boyut Çevre</dc:creator>
  <cp:keywords/>
  <dc:description/>
  <cp:lastModifiedBy>Adem Yıldız</cp:lastModifiedBy>
  <cp:revision>2</cp:revision>
  <cp:lastPrinted>2025-01-31T13:46:00Z</cp:lastPrinted>
  <dcterms:created xsi:type="dcterms:W3CDTF">2025-01-31T13:49:00Z</dcterms:created>
  <dcterms:modified xsi:type="dcterms:W3CDTF">2025-01-31T13:49:00Z</dcterms:modified>
</cp:coreProperties>
</file>