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3AAFF" w14:textId="1432DED5" w:rsidR="001302EA" w:rsidRPr="00EA77D1" w:rsidRDefault="008C5CBB" w:rsidP="0080336D">
      <w:pPr>
        <w:ind w:left="-142" w:right="-284"/>
        <w:jc w:val="center"/>
        <w:rPr>
          <w:rFonts w:ascii="Segoe UI" w:hAnsi="Segoe UI" w:cs="Segoe UI"/>
          <w:b/>
          <w:bCs/>
          <w:sz w:val="20"/>
          <w:szCs w:val="20"/>
        </w:rPr>
      </w:pPr>
      <w:r>
        <w:rPr>
          <w:rFonts w:ascii="Segoe UI" w:hAnsi="Segoe UI" w:cs="Segoe UI"/>
          <w:b/>
          <w:bCs/>
          <w:sz w:val="20"/>
          <w:szCs w:val="20"/>
        </w:rPr>
        <w:t>KAHRAMANMARAŞ DEPREMLERİ ÇEVRE BOYUTU ÖN DEĞERLENDİRMESİ</w:t>
      </w:r>
      <w:r w:rsidR="000C1CCD" w:rsidRPr="00EA77D1">
        <w:rPr>
          <w:rFonts w:ascii="Segoe UI" w:hAnsi="Segoe UI" w:cs="Segoe UI"/>
          <w:b/>
          <w:bCs/>
          <w:sz w:val="20"/>
          <w:szCs w:val="20"/>
        </w:rPr>
        <w:t xml:space="preserve"> </w:t>
      </w:r>
    </w:p>
    <w:p w14:paraId="0C65F0DB" w14:textId="4D091D76" w:rsidR="00B22EC3" w:rsidRPr="00EA77D1" w:rsidRDefault="00E4779A" w:rsidP="0080336D">
      <w:pPr>
        <w:ind w:left="-142" w:right="-284"/>
        <w:jc w:val="both"/>
        <w:rPr>
          <w:rFonts w:ascii="Segoe UI" w:hAnsi="Segoe UI" w:cs="Segoe UI"/>
          <w:bCs/>
          <w:sz w:val="20"/>
          <w:szCs w:val="20"/>
        </w:rPr>
      </w:pPr>
      <w:r w:rsidRPr="00E4779A">
        <w:rPr>
          <w:rFonts w:ascii="Segoe UI" w:hAnsi="Segoe UI" w:cs="Segoe UI"/>
          <w:bCs/>
          <w:sz w:val="20"/>
          <w:szCs w:val="20"/>
        </w:rPr>
        <w:t>Merkez üssü Kahramanmaraş-Pazarcık olan</w:t>
      </w:r>
      <w:r>
        <w:rPr>
          <w:rFonts w:ascii="Segoe UI" w:hAnsi="Segoe UI" w:cs="Segoe UI"/>
          <w:bCs/>
          <w:sz w:val="20"/>
          <w:szCs w:val="20"/>
        </w:rPr>
        <w:t xml:space="preserve"> </w:t>
      </w:r>
      <w:r w:rsidR="00F57BB2">
        <w:rPr>
          <w:rFonts w:ascii="Segoe UI" w:hAnsi="Segoe UI" w:cs="Segoe UI"/>
          <w:bCs/>
          <w:sz w:val="20"/>
          <w:szCs w:val="20"/>
        </w:rPr>
        <w:t xml:space="preserve">ve </w:t>
      </w:r>
      <w:r w:rsidRPr="00E4779A">
        <w:rPr>
          <w:rFonts w:ascii="Segoe UI" w:hAnsi="Segoe UI" w:cs="Segoe UI"/>
          <w:bCs/>
          <w:sz w:val="20"/>
          <w:szCs w:val="20"/>
        </w:rPr>
        <w:t xml:space="preserve">Gaziantep, Hatay, Adana, Osmaniye, Diyarbakır, Malatya ve Şanlıurfa başta olmak üzere çevre illerde yoğun şekilde </w:t>
      </w:r>
      <w:r w:rsidR="00102E11">
        <w:rPr>
          <w:rFonts w:ascii="Segoe UI" w:hAnsi="Segoe UI" w:cs="Segoe UI"/>
          <w:bCs/>
          <w:sz w:val="20"/>
          <w:szCs w:val="20"/>
        </w:rPr>
        <w:t>hissedil</w:t>
      </w:r>
      <w:r w:rsidR="00F57BB2">
        <w:rPr>
          <w:rFonts w:ascii="Segoe UI" w:hAnsi="Segoe UI" w:cs="Segoe UI"/>
          <w:bCs/>
          <w:sz w:val="20"/>
          <w:szCs w:val="20"/>
        </w:rPr>
        <w:t xml:space="preserve">en 7,4 şiddetindeki deprem </w:t>
      </w:r>
      <w:r w:rsidR="00230545">
        <w:rPr>
          <w:rFonts w:ascii="Segoe UI" w:hAnsi="Segoe UI" w:cs="Segoe UI"/>
          <w:bCs/>
          <w:sz w:val="20"/>
          <w:szCs w:val="20"/>
        </w:rPr>
        <w:t>ile sonrasında devam eden</w:t>
      </w:r>
      <w:r w:rsidR="00F57BB2">
        <w:rPr>
          <w:rFonts w:ascii="Segoe UI" w:hAnsi="Segoe UI" w:cs="Segoe UI"/>
          <w:bCs/>
          <w:sz w:val="20"/>
          <w:szCs w:val="20"/>
        </w:rPr>
        <w:t xml:space="preserve"> artçı depremler</w:t>
      </w:r>
      <w:r w:rsidR="00102E11">
        <w:rPr>
          <w:rFonts w:ascii="Segoe UI" w:hAnsi="Segoe UI" w:cs="Segoe UI"/>
          <w:bCs/>
          <w:sz w:val="20"/>
          <w:szCs w:val="20"/>
        </w:rPr>
        <w:t xml:space="preserve"> </w:t>
      </w:r>
      <w:r w:rsidR="00F57BB2">
        <w:rPr>
          <w:rFonts w:ascii="Segoe UI" w:hAnsi="Segoe UI" w:cs="Segoe UI"/>
          <w:bCs/>
          <w:sz w:val="20"/>
          <w:szCs w:val="20"/>
        </w:rPr>
        <w:t>bölgede büyük yıkım</w:t>
      </w:r>
      <w:r w:rsidR="00102E11">
        <w:rPr>
          <w:rFonts w:ascii="Segoe UI" w:hAnsi="Segoe UI" w:cs="Segoe UI"/>
          <w:bCs/>
          <w:sz w:val="20"/>
          <w:szCs w:val="20"/>
        </w:rPr>
        <w:t>a yol açtı.</w:t>
      </w:r>
      <w:r w:rsidR="00384ECC">
        <w:rPr>
          <w:rFonts w:ascii="Segoe UI" w:hAnsi="Segoe UI" w:cs="Segoe UI"/>
          <w:bCs/>
          <w:sz w:val="20"/>
          <w:szCs w:val="20"/>
        </w:rPr>
        <w:t xml:space="preserve"> </w:t>
      </w:r>
      <w:r w:rsidR="00F57BB2">
        <w:rPr>
          <w:rFonts w:ascii="Segoe UI" w:hAnsi="Segoe UI" w:cs="Segoe UI"/>
          <w:bCs/>
          <w:sz w:val="20"/>
          <w:szCs w:val="20"/>
        </w:rPr>
        <w:t>B</w:t>
      </w:r>
      <w:r w:rsidR="00E66F6D" w:rsidRPr="00EA77D1">
        <w:rPr>
          <w:rFonts w:ascii="Segoe UI" w:hAnsi="Segoe UI" w:cs="Segoe UI"/>
          <w:bCs/>
          <w:sz w:val="20"/>
          <w:szCs w:val="20"/>
        </w:rPr>
        <w:t>ir doğa olayı olan depremin insan eliyle felakete dönüşmesi, yitirilen hayatlar</w:t>
      </w:r>
      <w:r w:rsidR="008B3BA0" w:rsidRPr="00EA77D1">
        <w:rPr>
          <w:rFonts w:ascii="Segoe UI" w:hAnsi="Segoe UI" w:cs="Segoe UI"/>
          <w:bCs/>
          <w:sz w:val="20"/>
          <w:szCs w:val="20"/>
        </w:rPr>
        <w:t xml:space="preserve"> ve</w:t>
      </w:r>
      <w:r w:rsidR="00E66F6D" w:rsidRPr="00EA77D1">
        <w:rPr>
          <w:rFonts w:ascii="Segoe UI" w:hAnsi="Segoe UI" w:cs="Segoe UI"/>
          <w:bCs/>
          <w:sz w:val="20"/>
          <w:szCs w:val="20"/>
        </w:rPr>
        <w:t xml:space="preserve"> kayıplar DEPREM gerçeğini bir kez daha çok acı biçimde yüzümüze vurdu.</w:t>
      </w:r>
      <w:r w:rsidR="00F16517" w:rsidRPr="00EA77D1">
        <w:rPr>
          <w:rFonts w:ascii="Segoe UI" w:hAnsi="Segoe UI" w:cs="Segoe UI"/>
          <w:bCs/>
          <w:sz w:val="20"/>
          <w:szCs w:val="20"/>
        </w:rPr>
        <w:t xml:space="preserve"> </w:t>
      </w:r>
    </w:p>
    <w:p w14:paraId="4102FBF4" w14:textId="456E372C" w:rsidR="008C5CBB" w:rsidRPr="008C5CBB" w:rsidRDefault="008C5CBB" w:rsidP="0080336D">
      <w:pPr>
        <w:pStyle w:val="NormalWeb"/>
        <w:shd w:val="clear" w:color="auto" w:fill="FFFFFF"/>
        <w:ind w:left="-142" w:right="-284"/>
        <w:jc w:val="both"/>
        <w:rPr>
          <w:rFonts w:ascii="Segoe UI" w:hAnsi="Segoe UI" w:cs="Segoe UI"/>
          <w:sz w:val="20"/>
          <w:szCs w:val="20"/>
          <w:shd w:val="clear" w:color="auto" w:fill="FFFFFF"/>
        </w:rPr>
      </w:pPr>
      <w:r w:rsidRPr="008C5CBB">
        <w:rPr>
          <w:rFonts w:ascii="Segoe UI" w:hAnsi="Segoe UI" w:cs="Segoe UI"/>
          <w:sz w:val="20"/>
          <w:szCs w:val="20"/>
          <w:shd w:val="clear" w:color="auto" w:fill="FFFFFF"/>
        </w:rPr>
        <w:t xml:space="preserve">Depremin 10 ilde 13,5 milyon vatandaşımızı etkilediği açıklandı. Deprem öncesinde afet yönetim planları kapsamında gerekli önlemlerin alınmaması yıkımı arttırırken, İlgili ve yetkili kurumlar tarafından bölgeye zamanında gidil(e)memesi, arama-kurtarma faaliyetlerindeki koordinasyonsuzluk, önce insan gücü sonrasında da </w:t>
      </w:r>
      <w:proofErr w:type="gramStart"/>
      <w:r w:rsidRPr="008C5CBB">
        <w:rPr>
          <w:rFonts w:ascii="Segoe UI" w:hAnsi="Segoe UI" w:cs="Segoe UI"/>
          <w:sz w:val="20"/>
          <w:szCs w:val="20"/>
          <w:shd w:val="clear" w:color="auto" w:fill="FFFFFF"/>
        </w:rPr>
        <w:t>ekipman</w:t>
      </w:r>
      <w:proofErr w:type="gramEnd"/>
      <w:r w:rsidRPr="008C5CBB">
        <w:rPr>
          <w:rFonts w:ascii="Segoe UI" w:hAnsi="Segoe UI" w:cs="Segoe UI"/>
          <w:sz w:val="20"/>
          <w:szCs w:val="20"/>
          <w:shd w:val="clear" w:color="auto" w:fill="FFFFFF"/>
        </w:rPr>
        <w:t xml:space="preserve"> yetersizliği gibi nedenlere binlerce yurttaşımızı kaybettik.</w:t>
      </w:r>
      <w:r>
        <w:rPr>
          <w:rFonts w:ascii="Segoe UI" w:hAnsi="Segoe UI" w:cs="Segoe UI"/>
          <w:sz w:val="20"/>
          <w:szCs w:val="20"/>
          <w:shd w:val="clear" w:color="auto" w:fill="FFFFFF"/>
        </w:rPr>
        <w:t xml:space="preserve"> </w:t>
      </w:r>
      <w:r w:rsidRPr="00985CD0">
        <w:rPr>
          <w:rFonts w:ascii="Segoe UI" w:hAnsi="Segoe UI" w:cs="Segoe UI"/>
          <w:bCs/>
          <w:sz w:val="20"/>
          <w:szCs w:val="20"/>
        </w:rPr>
        <w:t>2</w:t>
      </w:r>
      <w:r w:rsidR="005D1D9D">
        <w:rPr>
          <w:rFonts w:ascii="Segoe UI" w:hAnsi="Segoe UI" w:cs="Segoe UI"/>
          <w:bCs/>
          <w:sz w:val="20"/>
          <w:szCs w:val="20"/>
        </w:rPr>
        <w:t>4</w:t>
      </w:r>
      <w:r>
        <w:rPr>
          <w:rFonts w:ascii="Segoe UI" w:hAnsi="Segoe UI" w:cs="Segoe UI"/>
          <w:bCs/>
          <w:sz w:val="20"/>
          <w:szCs w:val="20"/>
        </w:rPr>
        <w:t xml:space="preserve"> Şubat tarihli </w:t>
      </w:r>
      <w:r w:rsidRPr="00985CD0">
        <w:rPr>
          <w:rFonts w:ascii="Segoe UI" w:hAnsi="Segoe UI" w:cs="Segoe UI"/>
          <w:bCs/>
          <w:sz w:val="20"/>
          <w:szCs w:val="20"/>
        </w:rPr>
        <w:t xml:space="preserve">AFAD </w:t>
      </w:r>
      <w:r>
        <w:rPr>
          <w:rFonts w:ascii="Segoe UI" w:hAnsi="Segoe UI" w:cs="Segoe UI"/>
          <w:bCs/>
          <w:sz w:val="20"/>
          <w:szCs w:val="20"/>
        </w:rPr>
        <w:t>Bülteninde</w:t>
      </w:r>
      <w:r w:rsidRPr="00985CD0">
        <w:rPr>
          <w:rFonts w:ascii="Segoe UI" w:hAnsi="Segoe UI" w:cs="Segoe UI"/>
          <w:bCs/>
          <w:sz w:val="20"/>
          <w:szCs w:val="20"/>
        </w:rPr>
        <w:t xml:space="preserve"> depremde can kaybı sayısının </w:t>
      </w:r>
      <w:r w:rsidR="005D1D9D">
        <w:rPr>
          <w:rFonts w:ascii="Segoe UI" w:hAnsi="Segoe UI" w:cs="Segoe UI"/>
          <w:bCs/>
          <w:sz w:val="20"/>
          <w:szCs w:val="20"/>
        </w:rPr>
        <w:t>44.218’e</w:t>
      </w:r>
      <w:r w:rsidRPr="00985CD0">
        <w:rPr>
          <w:rFonts w:ascii="Segoe UI" w:hAnsi="Segoe UI" w:cs="Segoe UI"/>
          <w:bCs/>
          <w:sz w:val="20"/>
          <w:szCs w:val="20"/>
        </w:rPr>
        <w:t xml:space="preserve"> yükseldiği duyuruldu.</w:t>
      </w:r>
    </w:p>
    <w:p w14:paraId="17A422D1" w14:textId="77777777" w:rsidR="009E4EA8" w:rsidRDefault="008C5CBB" w:rsidP="0080336D">
      <w:pPr>
        <w:pStyle w:val="NormalWeb"/>
        <w:shd w:val="clear" w:color="auto" w:fill="FFFFFF"/>
        <w:spacing w:after="300"/>
        <w:ind w:left="-142" w:right="-284"/>
        <w:jc w:val="both"/>
        <w:rPr>
          <w:rFonts w:ascii="Segoe UI" w:hAnsi="Segoe UI" w:cs="Segoe UI"/>
          <w:sz w:val="20"/>
          <w:szCs w:val="20"/>
          <w:shd w:val="clear" w:color="auto" w:fill="FFFFFF"/>
        </w:rPr>
      </w:pPr>
      <w:r w:rsidRPr="008C5CBB">
        <w:rPr>
          <w:rFonts w:ascii="Segoe UI" w:hAnsi="Segoe UI" w:cs="Segoe UI"/>
          <w:sz w:val="20"/>
          <w:szCs w:val="20"/>
          <w:shd w:val="clear" w:color="auto" w:fill="FFFFFF"/>
        </w:rPr>
        <w:t>Gerek yaygınlığı gerekse sonuçları itibariyle son yıllarda yaşanan en büyük felaketlerden biri olan depremde hayatını kaybedenlerin yakınlarına sabır, yaralılara şifa ve tüm ülkemize baş sağlığı diliyoruz. TMMOB Çevre Mühendisleri Odası İzmir Şubesi olarak kayıplarımızın acısını paylaşıyor, depremi yaşadığımız ilk andan itibaren TMMOB İzmir İl Koordinasyon Kurulu olarak TMMOB’a bağlı Odalarımız ile birlikte teknik ihtiyaçlar ve yardım desteği ile yar</w:t>
      </w:r>
      <w:r w:rsidR="009E4EA8">
        <w:rPr>
          <w:rFonts w:ascii="Segoe UI" w:hAnsi="Segoe UI" w:cs="Segoe UI"/>
          <w:sz w:val="20"/>
          <w:szCs w:val="20"/>
          <w:shd w:val="clear" w:color="auto" w:fill="FFFFFF"/>
        </w:rPr>
        <w:t xml:space="preserve">aları sarmak için çalışıyoruz. </w:t>
      </w:r>
    </w:p>
    <w:p w14:paraId="72D3490A" w14:textId="60803B82" w:rsidR="009E4EA8" w:rsidRDefault="009E4EA8" w:rsidP="0080336D">
      <w:pPr>
        <w:pStyle w:val="NormalWeb"/>
        <w:shd w:val="clear" w:color="auto" w:fill="FFFFFF"/>
        <w:spacing w:after="300"/>
        <w:ind w:left="-142" w:right="-284"/>
        <w:jc w:val="both"/>
        <w:rPr>
          <w:rFonts w:ascii="Segoe UI" w:hAnsi="Segoe UI" w:cs="Segoe UI"/>
          <w:bCs/>
          <w:sz w:val="20"/>
          <w:szCs w:val="20"/>
        </w:rPr>
      </w:pPr>
      <w:proofErr w:type="gramStart"/>
      <w:r>
        <w:rPr>
          <w:rFonts w:ascii="Segoe UI" w:hAnsi="Segoe UI" w:cs="Segoe UI"/>
          <w:bCs/>
          <w:sz w:val="20"/>
          <w:szCs w:val="20"/>
        </w:rPr>
        <w:t>Diğer taraftan Şubemiz tarafından hazırlanan “</w:t>
      </w:r>
      <w:r w:rsidRPr="00132856">
        <w:rPr>
          <w:rFonts w:ascii="Segoe UI" w:hAnsi="Segoe UI" w:cs="Segoe UI"/>
          <w:bCs/>
          <w:sz w:val="20"/>
          <w:szCs w:val="20"/>
        </w:rPr>
        <w:t>Kahramanmaraş Depremleri Çevre Boyutu Ön Değerlendirme Raporu</w:t>
      </w:r>
      <w:r>
        <w:rPr>
          <w:rFonts w:ascii="Segoe UI" w:hAnsi="Segoe UI" w:cs="Segoe UI"/>
          <w:bCs/>
          <w:sz w:val="20"/>
          <w:szCs w:val="20"/>
        </w:rPr>
        <w:t xml:space="preserve">” </w:t>
      </w:r>
      <w:r w:rsidRPr="00985CD0">
        <w:rPr>
          <w:rFonts w:ascii="Segoe UI" w:hAnsi="Segoe UI" w:cs="Segoe UI"/>
          <w:bCs/>
          <w:sz w:val="20"/>
          <w:szCs w:val="20"/>
        </w:rPr>
        <w:t>kapsamında; deprem bölgesinde çalışmalara destek veren ve saha incelemelerinde bulunan meslektaşlarımız ve TMMOB üyelerinin gözlemleri ile birlikte ilgili kurumlar tarafından paylaşılan resmi veriler ışığın</w:t>
      </w:r>
      <w:r w:rsidR="005D1D9D">
        <w:rPr>
          <w:rFonts w:ascii="Segoe UI" w:hAnsi="Segoe UI" w:cs="Segoe UI"/>
          <w:bCs/>
          <w:sz w:val="20"/>
          <w:szCs w:val="20"/>
        </w:rPr>
        <w:t>da genel durum tespitinde bulun</w:t>
      </w:r>
      <w:r w:rsidRPr="00985CD0">
        <w:rPr>
          <w:rFonts w:ascii="Segoe UI" w:hAnsi="Segoe UI" w:cs="Segoe UI"/>
          <w:bCs/>
          <w:sz w:val="20"/>
          <w:szCs w:val="20"/>
        </w:rPr>
        <w:t>ularak, çevresel altyapı ve çevre yönetimi hizmetleri ile çevre sağlığı konusunda görüş ve önerilerimiz paylaşıl</w:t>
      </w:r>
      <w:r>
        <w:rPr>
          <w:rFonts w:ascii="Segoe UI" w:hAnsi="Segoe UI" w:cs="Segoe UI"/>
          <w:bCs/>
          <w:sz w:val="20"/>
          <w:szCs w:val="20"/>
        </w:rPr>
        <w:t>mıştır.</w:t>
      </w:r>
      <w:r w:rsidR="003D0B00">
        <w:rPr>
          <w:rFonts w:ascii="Segoe UI" w:hAnsi="Segoe UI" w:cs="Segoe UI"/>
          <w:bCs/>
          <w:sz w:val="20"/>
          <w:szCs w:val="20"/>
        </w:rPr>
        <w:t xml:space="preserve"> </w:t>
      </w:r>
      <w:proofErr w:type="gramEnd"/>
      <w:r w:rsidR="003D0B00">
        <w:rPr>
          <w:rFonts w:ascii="Segoe UI" w:hAnsi="Segoe UI" w:cs="Segoe UI"/>
          <w:sz w:val="20"/>
          <w:szCs w:val="20"/>
        </w:rPr>
        <w:t>Şubemiz ve Afet Çalışma Grubumuz tarafından bölgeden gelen bilgiler doğrultusunda rapor ve değerlendirme çalışmalarına devam edilmektedir.</w:t>
      </w:r>
      <w:bookmarkStart w:id="0" w:name="_GoBack"/>
      <w:bookmarkEnd w:id="0"/>
    </w:p>
    <w:p w14:paraId="5C4057A9"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Deprem kuşağında yer alan ülkemizde, akademisyenler, teknik uzmanlar ve meslek odaları tarafından deprem riskinin yüksek olduğu sayısız raporla ortaya konan bölgede yaşanan deprem büyük yıkıma yol açmıştır.</w:t>
      </w:r>
    </w:p>
    <w:p w14:paraId="2B6FC5D6"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 xml:space="preserve">Bu yıkımın nedeni teknik ve bilimden uzak, </w:t>
      </w:r>
      <w:proofErr w:type="gramStart"/>
      <w:r w:rsidRPr="00985CD0">
        <w:rPr>
          <w:rFonts w:ascii="Segoe UI" w:hAnsi="Segoe UI" w:cs="Segoe UI"/>
          <w:bCs/>
          <w:sz w:val="20"/>
          <w:szCs w:val="20"/>
        </w:rPr>
        <w:t>ranta</w:t>
      </w:r>
      <w:proofErr w:type="gramEnd"/>
      <w:r w:rsidRPr="00985CD0">
        <w:rPr>
          <w:rFonts w:ascii="Segoe UI" w:hAnsi="Segoe UI" w:cs="Segoe UI"/>
          <w:bCs/>
          <w:sz w:val="20"/>
          <w:szCs w:val="20"/>
        </w:rPr>
        <w:t xml:space="preserve"> dayalı kentleşme politikalarıdır. Bilimsel gerçekleri dikkate almayan, deprem riskini göz ardı ederek yerleşim alanları belirleyen, yapılaşma kararları alan, kamu arazilerini, tarım ve orman arazilerini, toplanma alanlarını sermayenin yararına imara açan, kamusal denetim yetkisini kullanmayan tüm merkezi ve yerel idareler bu yıkımın sorumlusudur.</w:t>
      </w:r>
    </w:p>
    <w:p w14:paraId="7A057B9B"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Mühendislik hizmeti alınmadan, kaçak olarak inşa edilmiş yapıların sağlamlığını ve depreme dayanıklılığını sorgulamaksızın malikinin beyanı ile yasal hale getiren irade yıkımın başlıca sorumlusudur.</w:t>
      </w:r>
    </w:p>
    <w:p w14:paraId="3F63D37B"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 xml:space="preserve">Deprem sonrasında acil müdahale planlarını uygulamayan, türlü nedenlerle bölgeye ulaşımı sağlamayan, gerekli insan gücü ve </w:t>
      </w:r>
      <w:proofErr w:type="gramStart"/>
      <w:r w:rsidRPr="00985CD0">
        <w:rPr>
          <w:rFonts w:ascii="Segoe UI" w:hAnsi="Segoe UI" w:cs="Segoe UI"/>
          <w:bCs/>
          <w:sz w:val="20"/>
          <w:szCs w:val="20"/>
        </w:rPr>
        <w:t>ekipman</w:t>
      </w:r>
      <w:proofErr w:type="gramEnd"/>
      <w:r w:rsidRPr="00985CD0">
        <w:rPr>
          <w:rFonts w:ascii="Segoe UI" w:hAnsi="Segoe UI" w:cs="Segoe UI"/>
          <w:bCs/>
          <w:sz w:val="20"/>
          <w:szCs w:val="20"/>
        </w:rPr>
        <w:t xml:space="preserve"> desteği ile birlikte koordinasyonu sağlamayanlar depremin felakete dönüşmesinde sorumlu olanlardır.</w:t>
      </w:r>
    </w:p>
    <w:p w14:paraId="73B4FE5B"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Binaları yapan, ruhsat veren, yapılarda izinsiz değişiklik yapan, denetle(me)yen herkes ile birlikte deprem öncesi ve sonrasında yaşanan tüm sürecin sorumluları tespit edilerek hukuki süreçler yürütülmelidir.</w:t>
      </w:r>
    </w:p>
    <w:p w14:paraId="018EDFC0"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lastRenderedPageBreak/>
        <w:t>Bununla birlikte bölgedeki yurttaşlarımızın barınma, sağlık, su ve gıda ihtiyaçlarının karşılanması, deprem sonucu oluşan çevre ve sağlık risklerinden korunması için gerekli önlemlerin alınması kamunun sorumluluğundadır.</w:t>
      </w:r>
    </w:p>
    <w:p w14:paraId="612A716F" w14:textId="77777777" w:rsidR="009E4EA8" w:rsidRPr="00985CD0" w:rsidRDefault="009E4EA8" w:rsidP="0080336D">
      <w:pPr>
        <w:ind w:left="-142" w:right="-284"/>
        <w:jc w:val="both"/>
        <w:rPr>
          <w:rFonts w:ascii="Segoe UI" w:hAnsi="Segoe UI" w:cs="Segoe UI"/>
          <w:bCs/>
          <w:sz w:val="20"/>
          <w:szCs w:val="20"/>
        </w:rPr>
      </w:pPr>
      <w:r w:rsidRPr="00985CD0">
        <w:rPr>
          <w:rFonts w:ascii="Segoe UI" w:hAnsi="Segoe UI" w:cs="Segoe UI"/>
          <w:bCs/>
          <w:sz w:val="20"/>
          <w:szCs w:val="20"/>
        </w:rPr>
        <w:t>Arama-kurtarma faaliyetlerinin devamında deprem bölgesinde geçici barınma alanlarının oluşturulması, hasar tespit çalışmaları, hasarlı binaların boşaltılması, yıkım işlemleri ve enkaz kaldırma çalışmalarının yürütülmesi gerekmektedir. Tüm bu çalışmalar bütününde yurttaşlarımızın yaşam hakkı, barınma, güvenlik, sağlıklı güvenli gıda ve suya erişim gibi insani ihtiyaçların yönetilmesi süreci yaşamsal öneme sahiptir.</w:t>
      </w:r>
    </w:p>
    <w:p w14:paraId="344EA15E"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Geçici barınma alanları ulusal ve uluslararası standartlara uygun olarak düzenlenmelidir. Isınma, su, gıda, tuvalet, duş ve sosyal ihtiyaçlar karşılanmalıdır. Gerekli su ve atıksu altyapısı ile atık yönetimi için gerekli alanlar hazırlanmalıdır.</w:t>
      </w:r>
      <w:r w:rsidRPr="00985CD0">
        <w:rPr>
          <w:lang w:val="tr-TR"/>
        </w:rPr>
        <w:t xml:space="preserve"> </w:t>
      </w:r>
      <w:r w:rsidRPr="00985CD0">
        <w:rPr>
          <w:rFonts w:ascii="Segoe UI" w:hAnsi="Segoe UI" w:cs="Segoe UI"/>
          <w:bCs/>
          <w:sz w:val="20"/>
          <w:szCs w:val="20"/>
          <w:lang w:val="tr-TR"/>
        </w:rPr>
        <w:t xml:space="preserve">Kişisel </w:t>
      </w:r>
      <w:proofErr w:type="gramStart"/>
      <w:r w:rsidRPr="00985CD0">
        <w:rPr>
          <w:rFonts w:ascii="Segoe UI" w:hAnsi="Segoe UI" w:cs="Segoe UI"/>
          <w:bCs/>
          <w:sz w:val="20"/>
          <w:szCs w:val="20"/>
          <w:lang w:val="tr-TR"/>
        </w:rPr>
        <w:t>hijyen</w:t>
      </w:r>
      <w:proofErr w:type="gramEnd"/>
      <w:r w:rsidRPr="00985CD0">
        <w:rPr>
          <w:rFonts w:ascii="Segoe UI" w:hAnsi="Segoe UI" w:cs="Segoe UI"/>
          <w:bCs/>
          <w:sz w:val="20"/>
          <w:szCs w:val="20"/>
          <w:lang w:val="tr-TR"/>
        </w:rPr>
        <w:t xml:space="preserve"> malzemeleri, maske ve dezenfektan ihtiyacı karşılanmalıdır.</w:t>
      </w:r>
    </w:p>
    <w:p w14:paraId="4791639F"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Enkaz kaldırma çalışmaları binalarda canlı olmadığı tespit edildikten sonra başlatılmalıdır.</w:t>
      </w:r>
    </w:p>
    <w:p w14:paraId="2FA7A7C0"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 xml:space="preserve">Yıkıntı atıkları ile ilgili yürütülen çalışmalarda bu nedenle bölgede toza karşı yüksek koruyucu özelliği bulunan FFP2 ve FFP3 türü maskeler kullanılmalı, enkaz kaldırma ve yıkım sürecinde gerekli önlemler alınarak, personele ve bölgede yaşayanlara koruyucu </w:t>
      </w:r>
      <w:proofErr w:type="gramStart"/>
      <w:r w:rsidRPr="00985CD0">
        <w:rPr>
          <w:rFonts w:ascii="Segoe UI" w:hAnsi="Segoe UI" w:cs="Segoe UI"/>
          <w:bCs/>
          <w:sz w:val="20"/>
          <w:szCs w:val="20"/>
          <w:lang w:val="tr-TR"/>
        </w:rPr>
        <w:t>ekipmanları</w:t>
      </w:r>
      <w:proofErr w:type="gramEnd"/>
      <w:r w:rsidRPr="00985CD0">
        <w:rPr>
          <w:rFonts w:ascii="Segoe UI" w:hAnsi="Segoe UI" w:cs="Segoe UI"/>
          <w:bCs/>
          <w:sz w:val="20"/>
          <w:szCs w:val="20"/>
          <w:lang w:val="tr-TR"/>
        </w:rPr>
        <w:t xml:space="preserve"> sağlanmalıdır.</w:t>
      </w:r>
    </w:p>
    <w:p w14:paraId="4DDB342F"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Yıkıntı atıkları içerdiği asbest ve tehlikeli atıklardan uygun koşullarda arındırılmalı, hafriyat içerisindeki geri dönüşebilen malzemelerin mevzuata uygun olarak geri dönüşümü sağlanmalı, hafriyatın depolanacağı alanların yer seçimi ve depolama koşulların çevre ve halk sağlığı sorunlarına yol açmayacak biçimde yönetilmelidir.</w:t>
      </w:r>
    </w:p>
    <w:p w14:paraId="6D6DDB31"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Çevresel altyapı tesislerindeki hasar tespit çalışmaları ile bakım-onarım çalışmaları tamamlanarak hizmete girmesi sağlanmalıdır.</w:t>
      </w:r>
    </w:p>
    <w:p w14:paraId="2A7EEB20"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Sanayi tesislerindeki hasar tespit çalışmaları tamamlanarak çevresel etkileri kontrol altına alınmalıdır.</w:t>
      </w:r>
    </w:p>
    <w:p w14:paraId="620EFC12"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Kemirgenler ve sokak hayvanlarının açıkta bırakılan çöplerden beslenerek salgın hastalıkları yayma riski bulunmaktadır. Bu nedenle çöpler ağzı kapalı olarak biriktirilmeli ve uygun şekilde uzaklaştırılmalıdır. Gerekli atık yönetim hizmeti sağlanmalıdır.</w:t>
      </w:r>
    </w:p>
    <w:p w14:paraId="73E92962" w14:textId="77777777" w:rsidR="009E4EA8" w:rsidRPr="00985CD0" w:rsidRDefault="009E4EA8" w:rsidP="0080336D">
      <w:pPr>
        <w:pStyle w:val="ListeParagraf"/>
        <w:numPr>
          <w:ilvl w:val="0"/>
          <w:numId w:val="8"/>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Bölgedeki önemli doğa alanları, sulak alanlar, tarım ve orman alanlarına atık bırakılmamalıdır.</w:t>
      </w:r>
    </w:p>
    <w:p w14:paraId="52E5958D" w14:textId="77777777" w:rsidR="009E4EA8" w:rsidRPr="0080336D" w:rsidRDefault="009E4EA8" w:rsidP="0080336D">
      <w:pPr>
        <w:ind w:left="426" w:right="-284"/>
        <w:jc w:val="both"/>
        <w:rPr>
          <w:rFonts w:ascii="Segoe UI" w:hAnsi="Segoe UI" w:cs="Segoe UI"/>
          <w:bCs/>
          <w:i/>
          <w:sz w:val="20"/>
          <w:szCs w:val="20"/>
        </w:rPr>
      </w:pPr>
      <w:r w:rsidRPr="0080336D">
        <w:rPr>
          <w:rFonts w:ascii="Segoe UI" w:hAnsi="Segoe UI" w:cs="Segoe UI"/>
          <w:bCs/>
          <w:i/>
          <w:sz w:val="20"/>
          <w:szCs w:val="20"/>
        </w:rPr>
        <w:t>Yıkımların tekrar etmemesi için afet yönetim planları ve organizasyon yapısı güncellenmeli ve gerekli önlemler alınmalıdır. Afet riskini azaltmaya yönelik gerekli çalışmalar tamamlanmalıdır.</w:t>
      </w:r>
    </w:p>
    <w:p w14:paraId="4CA7334A"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Merkezi politikalar, yerel planlamalar yapılmalı Afet yönetiminin her aşamasında yerel taraflara (Meslek odaları, dernekler, STK, bilim insanları) öncelik verilmelidir.</w:t>
      </w:r>
    </w:p>
    <w:p w14:paraId="45677B65"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lastRenderedPageBreak/>
        <w:t xml:space="preserve">Su, gıda, barınma, </w:t>
      </w:r>
      <w:proofErr w:type="gramStart"/>
      <w:r w:rsidRPr="00985CD0">
        <w:rPr>
          <w:rFonts w:ascii="Segoe UI" w:hAnsi="Segoe UI" w:cs="Segoe UI"/>
          <w:bCs/>
          <w:sz w:val="20"/>
          <w:szCs w:val="20"/>
          <w:lang w:val="tr-TR"/>
        </w:rPr>
        <w:t>hijyen</w:t>
      </w:r>
      <w:proofErr w:type="gramEnd"/>
      <w:r w:rsidRPr="00985CD0">
        <w:rPr>
          <w:rFonts w:ascii="Segoe UI" w:hAnsi="Segoe UI" w:cs="Segoe UI"/>
          <w:bCs/>
          <w:sz w:val="20"/>
          <w:szCs w:val="20"/>
          <w:lang w:val="tr-TR"/>
        </w:rPr>
        <w:t xml:space="preserve"> gibi temel gereksinimlerin ulaştırılmasının alt yapıda meydana gelebilecek hasar nedeniyle kesintiye uğrayacağı göz önünde tutularak bu gereksinimler mahalle ölçeğinde depolanmalıdır.</w:t>
      </w:r>
    </w:p>
    <w:p w14:paraId="2DF59F8B"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eastAsiaTheme="minorEastAsia" w:hAnsi="Segoe UI" w:cs="Segoe UI"/>
          <w:bCs/>
          <w:sz w:val="20"/>
          <w:szCs w:val="20"/>
          <w:lang w:val="tr-TR"/>
        </w:rPr>
        <w:t xml:space="preserve">Verilecek hizmete gerek duyacak kişi sayısı ve hizmetin götürüleceği alan büyüklüğü hesaplanarak mahalle, semt ve ilçe düzeyinde afet planı yapılmalıdır. </w:t>
      </w:r>
    </w:p>
    <w:p w14:paraId="42F666C5"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Her aileye aile afet planı öğretilmeli ve her ailenin planının bir örneği muhtarlıklara iletilmelidir.</w:t>
      </w:r>
    </w:p>
    <w:p w14:paraId="01D17427"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 xml:space="preserve">Gelişmenin kısıtlanacağı alanlar tanımlanmalı, risk taşıyan alanlarda nüfus ve ekonomik faaliyetlerin yoğunlaşması önlenmelidir.  </w:t>
      </w:r>
    </w:p>
    <w:p w14:paraId="5B61B4D0"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Toplanma alanları yerel halk tarafından kesinlikle bilinmelidir. Her toplanma alanı, yön okları ile görünür hale getirilmelidir.</w:t>
      </w:r>
    </w:p>
    <w:p w14:paraId="4E6275B1"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Yalnız yapı denetimi değil, bina kullanım pratiklerinin de afete uygunluğu denetlenmelidir.</w:t>
      </w:r>
    </w:p>
    <w:p w14:paraId="3249E7E2" w14:textId="77777777" w:rsidR="009E4EA8" w:rsidRPr="00985CD0" w:rsidRDefault="009E4EA8" w:rsidP="0080336D">
      <w:pPr>
        <w:pStyle w:val="ListeParagraf"/>
        <w:numPr>
          <w:ilvl w:val="0"/>
          <w:numId w:val="7"/>
        </w:numPr>
        <w:tabs>
          <w:tab w:val="clear" w:pos="720"/>
          <w:tab w:val="num" w:pos="426"/>
        </w:tabs>
        <w:ind w:left="426" w:right="-284"/>
        <w:rPr>
          <w:rFonts w:ascii="Segoe UI" w:hAnsi="Segoe UI" w:cs="Segoe UI"/>
          <w:bCs/>
          <w:sz w:val="20"/>
          <w:szCs w:val="20"/>
          <w:lang w:val="tr-TR"/>
        </w:rPr>
      </w:pPr>
      <w:r w:rsidRPr="00985CD0">
        <w:rPr>
          <w:rFonts w:ascii="Segoe UI" w:hAnsi="Segoe UI" w:cs="Segoe UI"/>
          <w:bCs/>
          <w:sz w:val="20"/>
          <w:szCs w:val="20"/>
          <w:lang w:val="tr-TR"/>
        </w:rPr>
        <w:t>İlk yardım ile afet anında korunma ve tahliye zorunlu eğitim kapsamına alınmalı, bu konuda eğitim belgesi olmayanların kira sözleşmesi ve tapu işlemleri yapması engellenmelidir.</w:t>
      </w:r>
    </w:p>
    <w:p w14:paraId="5851A81C" w14:textId="77777777" w:rsidR="009E4EA8" w:rsidRPr="00985CD0" w:rsidRDefault="009E4EA8" w:rsidP="0080336D">
      <w:pPr>
        <w:pStyle w:val="ListeParagraf"/>
        <w:numPr>
          <w:ilvl w:val="0"/>
          <w:numId w:val="7"/>
        </w:numPr>
        <w:tabs>
          <w:tab w:val="clear" w:pos="720"/>
          <w:tab w:val="num" w:pos="426"/>
        </w:tabs>
        <w:spacing w:after="0"/>
        <w:ind w:left="426" w:right="-284"/>
        <w:rPr>
          <w:rFonts w:ascii="Segoe UI" w:hAnsi="Segoe UI" w:cs="Segoe UI"/>
          <w:bCs/>
          <w:sz w:val="20"/>
          <w:szCs w:val="20"/>
          <w:lang w:val="tr-TR"/>
        </w:rPr>
      </w:pPr>
      <w:r w:rsidRPr="00985CD0">
        <w:rPr>
          <w:rFonts w:ascii="Segoe UI" w:hAnsi="Segoe UI" w:cs="Segoe UI"/>
          <w:bCs/>
          <w:sz w:val="20"/>
          <w:szCs w:val="20"/>
          <w:lang w:val="tr-TR"/>
        </w:rPr>
        <w:t>Doğal afetlerden etkilenen ve yıkımların yaşandığı yerlerde arama kurtarma faaliyetleri ile eş zamanlı olarak hava, su ve toprak kirliliği ölçümlerine başlanılmalı, ölçümler düzenli aralıklarla sürdürülmeli, kirliliği dağılı</w:t>
      </w:r>
      <w:r>
        <w:rPr>
          <w:rFonts w:ascii="Segoe UI" w:hAnsi="Segoe UI" w:cs="Segoe UI"/>
          <w:bCs/>
          <w:sz w:val="20"/>
          <w:szCs w:val="20"/>
          <w:lang w:val="tr-TR"/>
        </w:rPr>
        <w:t xml:space="preserve">m haritaları oluşturulmalıdır. </w:t>
      </w:r>
    </w:p>
    <w:p w14:paraId="4FAB204C" w14:textId="77777777" w:rsidR="009E4EA8" w:rsidRPr="00985CD0" w:rsidRDefault="009E4EA8" w:rsidP="0080336D">
      <w:pPr>
        <w:pStyle w:val="ListeParagraf"/>
        <w:numPr>
          <w:ilvl w:val="0"/>
          <w:numId w:val="7"/>
        </w:numPr>
        <w:tabs>
          <w:tab w:val="clear" w:pos="720"/>
          <w:tab w:val="num" w:pos="426"/>
        </w:tabs>
        <w:spacing w:after="0"/>
        <w:ind w:left="426" w:right="-284"/>
        <w:rPr>
          <w:rFonts w:ascii="Segoe UI" w:hAnsi="Segoe UI" w:cs="Segoe UI"/>
          <w:bCs/>
          <w:sz w:val="20"/>
          <w:szCs w:val="20"/>
          <w:lang w:val="tr-TR"/>
        </w:rPr>
      </w:pPr>
      <w:r w:rsidRPr="00985CD0">
        <w:rPr>
          <w:rFonts w:ascii="Segoe UI" w:hAnsi="Segoe UI" w:cs="Segoe UI"/>
          <w:bCs/>
          <w:sz w:val="20"/>
          <w:szCs w:val="20"/>
          <w:lang w:val="tr-TR"/>
        </w:rPr>
        <w:t xml:space="preserve">Kirlilik düzeyleri riskli sınırın altına inmeden havanın solunması; su kaynaklarının içme, sulama, yüzme amaçlı kullanılması; toprağın tarım, hayvancılık </w:t>
      </w:r>
      <w:proofErr w:type="spellStart"/>
      <w:r w:rsidRPr="00985CD0">
        <w:rPr>
          <w:rFonts w:ascii="Segoe UI" w:hAnsi="Segoe UI" w:cs="Segoe UI"/>
          <w:bCs/>
          <w:sz w:val="20"/>
          <w:szCs w:val="20"/>
          <w:lang w:val="tr-TR"/>
        </w:rPr>
        <w:t>vb</w:t>
      </w:r>
      <w:proofErr w:type="spellEnd"/>
      <w:r w:rsidRPr="00985CD0">
        <w:rPr>
          <w:rFonts w:ascii="Segoe UI" w:hAnsi="Segoe UI" w:cs="Segoe UI"/>
          <w:bCs/>
          <w:sz w:val="20"/>
          <w:szCs w:val="20"/>
          <w:lang w:val="tr-TR"/>
        </w:rPr>
        <w:t xml:space="preserve"> amaçlara ayrılması durdurulmalı, bu uyarılara her kademede uyulması için gerekli yasal ve yönetsel düzenlemeler ivedilikle gerçekleştirilmelidir.</w:t>
      </w:r>
    </w:p>
    <w:p w14:paraId="7302F38D" w14:textId="77777777" w:rsidR="009E4EA8" w:rsidRPr="00985CD0" w:rsidRDefault="009E4EA8" w:rsidP="0080336D">
      <w:pPr>
        <w:pStyle w:val="ListeParagraf"/>
        <w:numPr>
          <w:ilvl w:val="0"/>
          <w:numId w:val="7"/>
        </w:numPr>
        <w:tabs>
          <w:tab w:val="clear" w:pos="720"/>
          <w:tab w:val="num" w:pos="426"/>
        </w:tabs>
        <w:spacing w:after="0"/>
        <w:ind w:left="426" w:right="-284"/>
        <w:rPr>
          <w:rFonts w:ascii="Segoe UI" w:hAnsi="Segoe UI" w:cs="Segoe UI"/>
          <w:bCs/>
          <w:sz w:val="20"/>
          <w:szCs w:val="20"/>
          <w:lang w:val="tr-TR"/>
        </w:rPr>
      </w:pPr>
      <w:r w:rsidRPr="00985CD0">
        <w:rPr>
          <w:rFonts w:ascii="Segoe UI" w:hAnsi="Segoe UI" w:cs="Segoe UI"/>
          <w:bCs/>
          <w:sz w:val="20"/>
          <w:szCs w:val="20"/>
          <w:lang w:val="tr-TR"/>
        </w:rPr>
        <w:t xml:space="preserve">Toplumun afetler karşısındaki kırılganlığını gidermek, yerel yönetimlerin görevi olduğu topluma ve yöneticilere ısrarla hatırlatılmalı, afet adı altında toplanan maddi kaynaklar, her ne gerekçe ile olursa olsun farklı alanlara aktarılmamalıdır.  </w:t>
      </w:r>
    </w:p>
    <w:p w14:paraId="048B72E3" w14:textId="1D7B4642" w:rsidR="00C840B9" w:rsidRPr="00EA42F4" w:rsidRDefault="009E4EA8" w:rsidP="00EA42F4">
      <w:pPr>
        <w:pStyle w:val="ListeParagraf"/>
        <w:numPr>
          <w:ilvl w:val="0"/>
          <w:numId w:val="7"/>
        </w:numPr>
        <w:tabs>
          <w:tab w:val="clear" w:pos="720"/>
          <w:tab w:val="num" w:pos="426"/>
        </w:tabs>
        <w:spacing w:after="0"/>
        <w:ind w:left="426" w:right="-284"/>
        <w:rPr>
          <w:rFonts w:ascii="Segoe UI" w:hAnsi="Segoe UI" w:cs="Segoe UI"/>
          <w:bCs/>
          <w:sz w:val="20"/>
          <w:szCs w:val="20"/>
          <w:lang w:val="tr-TR"/>
        </w:rPr>
      </w:pPr>
      <w:r w:rsidRPr="00985CD0">
        <w:rPr>
          <w:rFonts w:ascii="Segoe UI" w:hAnsi="Segoe UI" w:cs="Segoe UI"/>
          <w:bCs/>
          <w:sz w:val="20"/>
          <w:szCs w:val="20"/>
          <w:lang w:val="tr-TR"/>
        </w:rPr>
        <w:t>Tüm bu önerileri yaşama geçirilirken afetler karşısında yaşar kalmanın en temel insan hakkı olduğu unutulmamalı, hak aranmalıdır.</w:t>
      </w:r>
    </w:p>
    <w:p w14:paraId="6E42F654" w14:textId="39CEECAA" w:rsidR="009E4EA8" w:rsidRDefault="00A46D93" w:rsidP="0080336D">
      <w:pPr>
        <w:ind w:left="-142" w:right="-284"/>
        <w:jc w:val="both"/>
        <w:rPr>
          <w:rFonts w:ascii="Segoe UI" w:hAnsi="Segoe UI" w:cs="Segoe UI"/>
          <w:sz w:val="20"/>
          <w:szCs w:val="20"/>
        </w:rPr>
      </w:pPr>
      <w:r w:rsidRPr="00DC197C">
        <w:rPr>
          <w:rFonts w:ascii="Segoe UI" w:hAnsi="Segoe UI" w:cs="Segoe UI"/>
          <w:sz w:val="20"/>
          <w:szCs w:val="20"/>
        </w:rPr>
        <w:t>Arama kurtarma ve saha çalışmalarında görev alan ve destek veren tüm profesyonel ve gönüllü ekiplere, sağlık çalışanlarına teşekkürlerimizi sunar, TMMOB Çevre Mühendisleri Odası İzmir Şubesi olarak; afet ve çevre yönetimi çalışmalarında meslektaşlarımızla birlikte dayanışma içerisinde gerekli desteği vermeye hazır olduğumuzu bildiririz.</w:t>
      </w:r>
    </w:p>
    <w:p w14:paraId="27115581" w14:textId="77777777" w:rsidR="00DC197C" w:rsidRPr="00EA77D1" w:rsidRDefault="00DC197C" w:rsidP="0080336D">
      <w:pPr>
        <w:pStyle w:val="NormalWeb"/>
        <w:shd w:val="clear" w:color="auto" w:fill="FFFFFF"/>
        <w:spacing w:before="0" w:beforeAutospacing="0" w:after="300" w:afterAutospacing="0"/>
        <w:ind w:left="-142" w:right="-284"/>
        <w:jc w:val="both"/>
        <w:rPr>
          <w:rFonts w:ascii="Segoe UI" w:hAnsi="Segoe UI" w:cs="Segoe UI"/>
          <w:sz w:val="20"/>
          <w:szCs w:val="20"/>
          <w:shd w:val="clear" w:color="auto" w:fill="FFFFFF"/>
        </w:rPr>
      </w:pPr>
      <w:r>
        <w:rPr>
          <w:rFonts w:ascii="Segoe UI" w:hAnsi="Segoe UI" w:cs="Segoe UI"/>
          <w:sz w:val="20"/>
          <w:szCs w:val="20"/>
          <w:shd w:val="clear" w:color="auto" w:fill="FFFFFF"/>
        </w:rPr>
        <w:t>Kamuoyuna saygı ile duyurulur.</w:t>
      </w:r>
    </w:p>
    <w:p w14:paraId="19F0D613" w14:textId="77777777" w:rsidR="009E4EA8" w:rsidRPr="00985CD0" w:rsidRDefault="009E4EA8" w:rsidP="00DC197C">
      <w:pPr>
        <w:ind w:left="-142"/>
        <w:rPr>
          <w:rFonts w:ascii="Segoe UI" w:hAnsi="Segoe UI" w:cs="Segoe UI"/>
          <w:sz w:val="20"/>
          <w:szCs w:val="20"/>
        </w:rPr>
      </w:pPr>
      <w:r w:rsidRPr="00985CD0">
        <w:rPr>
          <w:rFonts w:ascii="Segoe UI" w:hAnsi="Segoe UI" w:cs="Segoe UI"/>
          <w:sz w:val="20"/>
          <w:szCs w:val="20"/>
        </w:rPr>
        <w:t>TMMOB Çevre Mühendisleri Odası İzmir Şubesi</w:t>
      </w:r>
    </w:p>
    <w:p w14:paraId="7A9FA3D8" w14:textId="77777777" w:rsidR="000206A4" w:rsidRPr="00EA77D1" w:rsidRDefault="000206A4" w:rsidP="00DC197C">
      <w:pPr>
        <w:pStyle w:val="NormalWeb"/>
        <w:shd w:val="clear" w:color="auto" w:fill="FFFFFF"/>
        <w:spacing w:before="0" w:beforeAutospacing="0" w:after="300" w:afterAutospacing="0"/>
        <w:ind w:right="-558"/>
        <w:jc w:val="both"/>
        <w:rPr>
          <w:rFonts w:ascii="Segoe UI" w:hAnsi="Segoe UI" w:cs="Segoe UI"/>
          <w:sz w:val="20"/>
          <w:szCs w:val="20"/>
          <w:shd w:val="clear" w:color="auto" w:fill="FFFFFF"/>
        </w:rPr>
      </w:pPr>
    </w:p>
    <w:sectPr w:rsidR="000206A4" w:rsidRPr="00EA77D1" w:rsidSect="0080336D">
      <w:headerReference w:type="default" r:id="rId9"/>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867C0" w14:textId="77777777" w:rsidR="00EC2B1D" w:rsidRDefault="00EC2B1D" w:rsidP="00B46C5E">
      <w:pPr>
        <w:spacing w:after="0" w:line="240" w:lineRule="auto"/>
      </w:pPr>
      <w:r>
        <w:separator/>
      </w:r>
    </w:p>
  </w:endnote>
  <w:endnote w:type="continuationSeparator" w:id="0">
    <w:p w14:paraId="660C3BE6" w14:textId="77777777" w:rsidR="00EC2B1D" w:rsidRDefault="00EC2B1D" w:rsidP="00B4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F9BE7" w14:textId="77777777" w:rsidR="00EC2B1D" w:rsidRDefault="00EC2B1D" w:rsidP="00B46C5E">
      <w:pPr>
        <w:spacing w:after="0" w:line="240" w:lineRule="auto"/>
      </w:pPr>
      <w:r>
        <w:separator/>
      </w:r>
    </w:p>
  </w:footnote>
  <w:footnote w:type="continuationSeparator" w:id="0">
    <w:p w14:paraId="732B2A33" w14:textId="77777777" w:rsidR="00EC2B1D" w:rsidRDefault="00EC2B1D" w:rsidP="00B46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278F" w14:textId="2373FB7F" w:rsidR="00384ECC" w:rsidRDefault="00384ECC" w:rsidP="00B46C5E">
    <w:pPr>
      <w:pStyle w:val="a"/>
      <w:rPr>
        <w:b/>
      </w:rPr>
    </w:pPr>
    <w:r>
      <w:rPr>
        <w:noProof/>
      </w:rPr>
      <w:drawing>
        <wp:anchor distT="0" distB="0" distL="114300" distR="114300" simplePos="0" relativeHeight="251659264" behindDoc="0" locked="0" layoutInCell="1" allowOverlap="1" wp14:anchorId="74DED971" wp14:editId="0A0C49D1">
          <wp:simplePos x="0" y="0"/>
          <wp:positionH relativeFrom="column">
            <wp:posOffset>2505075</wp:posOffset>
          </wp:positionH>
          <wp:positionV relativeFrom="paragraph">
            <wp:posOffset>-55880</wp:posOffset>
          </wp:positionV>
          <wp:extent cx="742950" cy="723900"/>
          <wp:effectExtent l="0" t="0" r="0" b="0"/>
          <wp:wrapSquare wrapText="left"/>
          <wp:docPr id="1" name="Resim 1" descr="http://cmo.key.gen.tr/resimler/ekler/15b53a74a60d468_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cmo.key.gen.tr/resimler/ekler/15b53a74a60d468_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anchor>
      </w:drawing>
    </w:r>
  </w:p>
  <w:p w14:paraId="5346C4B4" w14:textId="482DE340" w:rsidR="00B46C5E" w:rsidRDefault="00B46C5E" w:rsidP="00B46C5E">
    <w:pPr>
      <w:pStyle w:val="a"/>
      <w:rPr>
        <w:b/>
      </w:rPr>
    </w:pPr>
    <w:r>
      <w:rPr>
        <w:b/>
      </w:rPr>
      <w:br w:type="textWrapping" w:clear="all"/>
    </w:r>
  </w:p>
  <w:p w14:paraId="6B94E39D" w14:textId="77777777" w:rsidR="00384ECC" w:rsidRDefault="00384ECC" w:rsidP="00B46C5E">
    <w:pPr>
      <w:pStyle w:val="a"/>
      <w:jc w:val="center"/>
      <w:rPr>
        <w:b/>
      </w:rPr>
    </w:pPr>
  </w:p>
  <w:p w14:paraId="72F9E93A" w14:textId="1F6FEF1F" w:rsidR="00B46C5E" w:rsidRDefault="00B46C5E" w:rsidP="00B46C5E">
    <w:pPr>
      <w:pStyle w:val="a"/>
      <w:jc w:val="center"/>
      <w:rPr>
        <w:b/>
      </w:rPr>
    </w:pPr>
    <w:r w:rsidRPr="00E863AF">
      <w:rPr>
        <w:b/>
      </w:rPr>
      <w:t>TMMOB</w:t>
    </w:r>
    <w:r w:rsidR="00384ECC">
      <w:rPr>
        <w:b/>
      </w:rPr>
      <w:t xml:space="preserve"> </w:t>
    </w:r>
    <w:r w:rsidRPr="00E863AF">
      <w:rPr>
        <w:b/>
      </w:rPr>
      <w:t>ÇEVRE MÜHENDİSLERİ ODASI</w:t>
    </w:r>
  </w:p>
  <w:p w14:paraId="787538E6" w14:textId="77777777" w:rsidR="00B46C5E" w:rsidRDefault="00B46C5E" w:rsidP="00B46C5E">
    <w:pPr>
      <w:pStyle w:val="a"/>
    </w:pPr>
    <w:r>
      <w:rPr>
        <w:b/>
      </w:rPr>
      <w:tab/>
    </w:r>
    <w:r w:rsidRPr="00E863AF">
      <w:rPr>
        <w:b/>
      </w:rPr>
      <w:t>İZMİR ŞUBESİ</w:t>
    </w:r>
  </w:p>
  <w:p w14:paraId="4414BFDF" w14:textId="77777777" w:rsidR="00B46C5E" w:rsidRDefault="00B46C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2C9"/>
    <w:multiLevelType w:val="hybridMultilevel"/>
    <w:tmpl w:val="3D08F04C"/>
    <w:lvl w:ilvl="0" w:tplc="69902C20">
      <w:numFmt w:val="bullet"/>
      <w:lvlText w:val="-"/>
      <w:lvlJc w:val="left"/>
      <w:pPr>
        <w:ind w:left="720" w:hanging="360"/>
      </w:pPr>
      <w:rPr>
        <w:rFonts w:ascii="Calibri" w:eastAsiaTheme="minorEastAsia"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B14DBD"/>
    <w:multiLevelType w:val="hybridMultilevel"/>
    <w:tmpl w:val="41FEF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BB1F6B"/>
    <w:multiLevelType w:val="multilevel"/>
    <w:tmpl w:val="3D0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728F6"/>
    <w:multiLevelType w:val="hybridMultilevel"/>
    <w:tmpl w:val="D9AE75FC"/>
    <w:lvl w:ilvl="0" w:tplc="B24206A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6E001B"/>
    <w:multiLevelType w:val="hybridMultilevel"/>
    <w:tmpl w:val="695E9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B0D4702"/>
    <w:multiLevelType w:val="hybridMultilevel"/>
    <w:tmpl w:val="F5E01FB8"/>
    <w:lvl w:ilvl="0" w:tplc="5A5E5AF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65C34131"/>
    <w:multiLevelType w:val="multilevel"/>
    <w:tmpl w:val="3D0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E93B54"/>
    <w:multiLevelType w:val="multilevel"/>
    <w:tmpl w:val="68FC1ABA"/>
    <w:lvl w:ilvl="0">
      <w:start w:val="1"/>
      <w:numFmt w:val="decimal"/>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7"/>
  </w:num>
  <w:num w:numId="2">
    <w:abstractNumId w:val="5"/>
  </w:num>
  <w:num w:numId="3">
    <w:abstractNumId w:val="0"/>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D0"/>
    <w:rsid w:val="0000477C"/>
    <w:rsid w:val="000206A4"/>
    <w:rsid w:val="00020A3B"/>
    <w:rsid w:val="00027D80"/>
    <w:rsid w:val="00032846"/>
    <w:rsid w:val="000565F8"/>
    <w:rsid w:val="00085533"/>
    <w:rsid w:val="00085F8A"/>
    <w:rsid w:val="00095666"/>
    <w:rsid w:val="0009606D"/>
    <w:rsid w:val="000B5423"/>
    <w:rsid w:val="000C1CCD"/>
    <w:rsid w:val="000D7529"/>
    <w:rsid w:val="000E0D20"/>
    <w:rsid w:val="0010025C"/>
    <w:rsid w:val="00102E11"/>
    <w:rsid w:val="001302EA"/>
    <w:rsid w:val="0013205F"/>
    <w:rsid w:val="001443B1"/>
    <w:rsid w:val="001450ED"/>
    <w:rsid w:val="00147433"/>
    <w:rsid w:val="0016069E"/>
    <w:rsid w:val="001664DC"/>
    <w:rsid w:val="00181D02"/>
    <w:rsid w:val="00192111"/>
    <w:rsid w:val="001A4BF0"/>
    <w:rsid w:val="001D7A63"/>
    <w:rsid w:val="001E6014"/>
    <w:rsid w:val="002078E3"/>
    <w:rsid w:val="00214942"/>
    <w:rsid w:val="00222800"/>
    <w:rsid w:val="002247F7"/>
    <w:rsid w:val="0022714B"/>
    <w:rsid w:val="00230298"/>
    <w:rsid w:val="00230545"/>
    <w:rsid w:val="00237F95"/>
    <w:rsid w:val="00284439"/>
    <w:rsid w:val="002B0B86"/>
    <w:rsid w:val="002D3C6B"/>
    <w:rsid w:val="002D3F69"/>
    <w:rsid w:val="00306DE7"/>
    <w:rsid w:val="003506BA"/>
    <w:rsid w:val="003548AB"/>
    <w:rsid w:val="00384ECC"/>
    <w:rsid w:val="003D0B00"/>
    <w:rsid w:val="003D267C"/>
    <w:rsid w:val="003E39BB"/>
    <w:rsid w:val="003E7640"/>
    <w:rsid w:val="00415485"/>
    <w:rsid w:val="00431E54"/>
    <w:rsid w:val="00444FED"/>
    <w:rsid w:val="0044526C"/>
    <w:rsid w:val="004617A3"/>
    <w:rsid w:val="004737E0"/>
    <w:rsid w:val="0047438F"/>
    <w:rsid w:val="00491F5F"/>
    <w:rsid w:val="004B0551"/>
    <w:rsid w:val="004B3092"/>
    <w:rsid w:val="004B3D03"/>
    <w:rsid w:val="004B6F34"/>
    <w:rsid w:val="004F7FBE"/>
    <w:rsid w:val="00541FCB"/>
    <w:rsid w:val="005657A2"/>
    <w:rsid w:val="0057329C"/>
    <w:rsid w:val="00584E77"/>
    <w:rsid w:val="005D1D9D"/>
    <w:rsid w:val="005F4822"/>
    <w:rsid w:val="006251D7"/>
    <w:rsid w:val="00630022"/>
    <w:rsid w:val="0063165D"/>
    <w:rsid w:val="00633F14"/>
    <w:rsid w:val="00655BBE"/>
    <w:rsid w:val="00660168"/>
    <w:rsid w:val="006B4566"/>
    <w:rsid w:val="006B5BD0"/>
    <w:rsid w:val="006B64D7"/>
    <w:rsid w:val="006E033B"/>
    <w:rsid w:val="006E23E8"/>
    <w:rsid w:val="006E30EC"/>
    <w:rsid w:val="007065BD"/>
    <w:rsid w:val="007139DA"/>
    <w:rsid w:val="00724AB1"/>
    <w:rsid w:val="00736258"/>
    <w:rsid w:val="00737521"/>
    <w:rsid w:val="0080336D"/>
    <w:rsid w:val="0086690B"/>
    <w:rsid w:val="008A1264"/>
    <w:rsid w:val="008A69AB"/>
    <w:rsid w:val="008B3BA0"/>
    <w:rsid w:val="008C5CBB"/>
    <w:rsid w:val="008C7722"/>
    <w:rsid w:val="00920AD7"/>
    <w:rsid w:val="00993E76"/>
    <w:rsid w:val="009E4EA8"/>
    <w:rsid w:val="009F3838"/>
    <w:rsid w:val="00A06446"/>
    <w:rsid w:val="00A37D0E"/>
    <w:rsid w:val="00A40F40"/>
    <w:rsid w:val="00A46D93"/>
    <w:rsid w:val="00A47770"/>
    <w:rsid w:val="00AB5021"/>
    <w:rsid w:val="00B02CEB"/>
    <w:rsid w:val="00B11698"/>
    <w:rsid w:val="00B22EC3"/>
    <w:rsid w:val="00B46C5E"/>
    <w:rsid w:val="00B533C2"/>
    <w:rsid w:val="00B723F0"/>
    <w:rsid w:val="00B90FF7"/>
    <w:rsid w:val="00C12812"/>
    <w:rsid w:val="00C3594E"/>
    <w:rsid w:val="00C4151E"/>
    <w:rsid w:val="00C840B9"/>
    <w:rsid w:val="00C91C14"/>
    <w:rsid w:val="00CA1CD5"/>
    <w:rsid w:val="00CB05BD"/>
    <w:rsid w:val="00CC4A59"/>
    <w:rsid w:val="00CC5E11"/>
    <w:rsid w:val="00CD291D"/>
    <w:rsid w:val="00CE0E8F"/>
    <w:rsid w:val="00CE50D8"/>
    <w:rsid w:val="00CF6BC3"/>
    <w:rsid w:val="00D30639"/>
    <w:rsid w:val="00D61FB7"/>
    <w:rsid w:val="00DC18FB"/>
    <w:rsid w:val="00DC197C"/>
    <w:rsid w:val="00DC1F0B"/>
    <w:rsid w:val="00DE61C3"/>
    <w:rsid w:val="00E4779A"/>
    <w:rsid w:val="00E50089"/>
    <w:rsid w:val="00E61B39"/>
    <w:rsid w:val="00E66F6D"/>
    <w:rsid w:val="00EA42F4"/>
    <w:rsid w:val="00EA77D1"/>
    <w:rsid w:val="00EC2B1D"/>
    <w:rsid w:val="00EC3446"/>
    <w:rsid w:val="00F003B4"/>
    <w:rsid w:val="00F154C2"/>
    <w:rsid w:val="00F16517"/>
    <w:rsid w:val="00F552FA"/>
    <w:rsid w:val="00F55ADC"/>
    <w:rsid w:val="00F5797B"/>
    <w:rsid w:val="00F57BB2"/>
    <w:rsid w:val="00F749A7"/>
    <w:rsid w:val="00F83AAD"/>
    <w:rsid w:val="00FA1C7F"/>
    <w:rsid w:val="00FC0275"/>
    <w:rsid w:val="00FD387F"/>
    <w:rsid w:val="00FE3819"/>
    <w:rsid w:val="00FF6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8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065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tejustify">
    <w:name w:val="rtejustify"/>
    <w:basedOn w:val="Normal"/>
    <w:rsid w:val="000B54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1"/>
    <w:uiPriority w:val="99"/>
    <w:unhideWhenUsed/>
    <w:rsid w:val="00B46C5E"/>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46C5E"/>
  </w:style>
  <w:style w:type="paragraph" w:styleId="Altbilgi">
    <w:name w:val="footer"/>
    <w:basedOn w:val="Normal"/>
    <w:link w:val="AltbilgiChar"/>
    <w:uiPriority w:val="99"/>
    <w:unhideWhenUsed/>
    <w:rsid w:val="00B46C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C5E"/>
  </w:style>
  <w:style w:type="paragraph" w:customStyle="1" w:styleId="a">
    <w:basedOn w:val="Normal"/>
    <w:next w:val="stbilgi"/>
    <w:link w:val="stbilgiChar"/>
    <w:rsid w:val="00B46C5E"/>
    <w:pPr>
      <w:tabs>
        <w:tab w:val="center" w:pos="4536"/>
        <w:tab w:val="right" w:pos="9072"/>
      </w:tabs>
      <w:spacing w:after="0" w:line="240" w:lineRule="auto"/>
    </w:pPr>
    <w:rPr>
      <w:sz w:val="24"/>
      <w:szCs w:val="24"/>
      <w:lang w:eastAsia="tr-TR"/>
    </w:rPr>
  </w:style>
  <w:style w:type="character" w:customStyle="1" w:styleId="stbilgiChar">
    <w:name w:val="Üstbilgi Char"/>
    <w:link w:val="a"/>
    <w:rsid w:val="00B46C5E"/>
    <w:rPr>
      <w:sz w:val="24"/>
      <w:szCs w:val="24"/>
      <w:lang w:val="tr-TR" w:eastAsia="tr-TR" w:bidi="ar-SA"/>
    </w:rPr>
  </w:style>
  <w:style w:type="paragraph" w:customStyle="1" w:styleId="BASLIK2">
    <w:name w:val="BASLIK2"/>
    <w:basedOn w:val="Normal"/>
    <w:link w:val="BASLIK2Char"/>
    <w:rsid w:val="00CA1CD5"/>
    <w:pPr>
      <w:keepNext/>
      <w:numPr>
        <w:ilvl w:val="1"/>
        <w:numId w:val="1"/>
      </w:numPr>
      <w:tabs>
        <w:tab w:val="num" w:pos="360"/>
      </w:tabs>
      <w:spacing w:before="120" w:after="100" w:line="360" w:lineRule="auto"/>
      <w:jc w:val="both"/>
    </w:pPr>
    <w:rPr>
      <w:rFonts w:ascii="Arial" w:eastAsia="Batang" w:hAnsi="Arial" w:cs="Times New Roman"/>
      <w:b/>
      <w:sz w:val="24"/>
      <w:szCs w:val="24"/>
      <w:lang w:val="en-US" w:eastAsia="tr-TR"/>
    </w:rPr>
  </w:style>
  <w:style w:type="character" w:customStyle="1" w:styleId="BASLIK2Char">
    <w:name w:val="BASLIK2 Char"/>
    <w:link w:val="BASLIK2"/>
    <w:rsid w:val="00CA1CD5"/>
    <w:rPr>
      <w:rFonts w:ascii="Arial" w:eastAsia="Batang" w:hAnsi="Arial" w:cs="Times New Roman"/>
      <w:b/>
      <w:sz w:val="24"/>
      <w:szCs w:val="24"/>
      <w:lang w:val="en-US" w:eastAsia="tr-TR"/>
    </w:rPr>
  </w:style>
  <w:style w:type="character" w:customStyle="1" w:styleId="fontstyle21">
    <w:name w:val="fontstyle21"/>
    <w:basedOn w:val="VarsaylanParagrafYazTipi"/>
    <w:rsid w:val="00CA1CD5"/>
    <w:rPr>
      <w:rFonts w:ascii="TimesNewRomanPSMT" w:hAnsi="TimesNewRomanPSMT" w:hint="default"/>
      <w:b w:val="0"/>
      <w:bCs w:val="0"/>
      <w:i w:val="0"/>
      <w:iCs w:val="0"/>
      <w:color w:val="000000"/>
      <w:sz w:val="22"/>
      <w:szCs w:val="22"/>
    </w:rPr>
  </w:style>
  <w:style w:type="character" w:customStyle="1" w:styleId="fontstyle01">
    <w:name w:val="fontstyle01"/>
    <w:basedOn w:val="VarsaylanParagrafYazTipi"/>
    <w:rsid w:val="00B533C2"/>
    <w:rPr>
      <w:rFonts w:ascii="TimesNewRomanPS-BoldMT" w:hAnsi="TimesNewRomanPS-BoldMT" w:hint="default"/>
      <w:b/>
      <w:bCs/>
      <w:i w:val="0"/>
      <w:iCs w:val="0"/>
      <w:color w:val="000000"/>
      <w:sz w:val="24"/>
      <w:szCs w:val="24"/>
    </w:rPr>
  </w:style>
  <w:style w:type="paragraph" w:styleId="ListeParagraf">
    <w:name w:val="List Paragraph"/>
    <w:basedOn w:val="Normal"/>
    <w:uiPriority w:val="34"/>
    <w:qFormat/>
    <w:rsid w:val="007139DA"/>
    <w:pPr>
      <w:spacing w:after="100" w:line="360" w:lineRule="auto"/>
      <w:ind w:left="720"/>
      <w:contextualSpacing/>
      <w:jc w:val="both"/>
    </w:pPr>
    <w:rPr>
      <w:rFonts w:ascii="Arial" w:eastAsia="Times New Roman" w:hAnsi="Arial" w:cs="Times New Roman"/>
      <w:sz w:val="24"/>
      <w:szCs w:val="24"/>
      <w:lang w:val="en-US" w:eastAsia="tr-TR"/>
    </w:rPr>
  </w:style>
  <w:style w:type="paragraph" w:customStyle="1" w:styleId="Default">
    <w:name w:val="Default"/>
    <w:rsid w:val="001302EA"/>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065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tejustify">
    <w:name w:val="rtejustify"/>
    <w:basedOn w:val="Normal"/>
    <w:rsid w:val="000B54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1"/>
    <w:uiPriority w:val="99"/>
    <w:unhideWhenUsed/>
    <w:rsid w:val="00B46C5E"/>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46C5E"/>
  </w:style>
  <w:style w:type="paragraph" w:styleId="Altbilgi">
    <w:name w:val="footer"/>
    <w:basedOn w:val="Normal"/>
    <w:link w:val="AltbilgiChar"/>
    <w:uiPriority w:val="99"/>
    <w:unhideWhenUsed/>
    <w:rsid w:val="00B46C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C5E"/>
  </w:style>
  <w:style w:type="paragraph" w:customStyle="1" w:styleId="a">
    <w:basedOn w:val="Normal"/>
    <w:next w:val="stbilgi"/>
    <w:link w:val="stbilgiChar"/>
    <w:rsid w:val="00B46C5E"/>
    <w:pPr>
      <w:tabs>
        <w:tab w:val="center" w:pos="4536"/>
        <w:tab w:val="right" w:pos="9072"/>
      </w:tabs>
      <w:spacing w:after="0" w:line="240" w:lineRule="auto"/>
    </w:pPr>
    <w:rPr>
      <w:sz w:val="24"/>
      <w:szCs w:val="24"/>
      <w:lang w:eastAsia="tr-TR"/>
    </w:rPr>
  </w:style>
  <w:style w:type="character" w:customStyle="1" w:styleId="stbilgiChar">
    <w:name w:val="Üstbilgi Char"/>
    <w:link w:val="a"/>
    <w:rsid w:val="00B46C5E"/>
    <w:rPr>
      <w:sz w:val="24"/>
      <w:szCs w:val="24"/>
      <w:lang w:val="tr-TR" w:eastAsia="tr-TR" w:bidi="ar-SA"/>
    </w:rPr>
  </w:style>
  <w:style w:type="paragraph" w:customStyle="1" w:styleId="BASLIK2">
    <w:name w:val="BASLIK2"/>
    <w:basedOn w:val="Normal"/>
    <w:link w:val="BASLIK2Char"/>
    <w:rsid w:val="00CA1CD5"/>
    <w:pPr>
      <w:keepNext/>
      <w:numPr>
        <w:ilvl w:val="1"/>
        <w:numId w:val="1"/>
      </w:numPr>
      <w:tabs>
        <w:tab w:val="num" w:pos="360"/>
      </w:tabs>
      <w:spacing w:before="120" w:after="100" w:line="360" w:lineRule="auto"/>
      <w:jc w:val="both"/>
    </w:pPr>
    <w:rPr>
      <w:rFonts w:ascii="Arial" w:eastAsia="Batang" w:hAnsi="Arial" w:cs="Times New Roman"/>
      <w:b/>
      <w:sz w:val="24"/>
      <w:szCs w:val="24"/>
      <w:lang w:val="en-US" w:eastAsia="tr-TR"/>
    </w:rPr>
  </w:style>
  <w:style w:type="character" w:customStyle="1" w:styleId="BASLIK2Char">
    <w:name w:val="BASLIK2 Char"/>
    <w:link w:val="BASLIK2"/>
    <w:rsid w:val="00CA1CD5"/>
    <w:rPr>
      <w:rFonts w:ascii="Arial" w:eastAsia="Batang" w:hAnsi="Arial" w:cs="Times New Roman"/>
      <w:b/>
      <w:sz w:val="24"/>
      <w:szCs w:val="24"/>
      <w:lang w:val="en-US" w:eastAsia="tr-TR"/>
    </w:rPr>
  </w:style>
  <w:style w:type="character" w:customStyle="1" w:styleId="fontstyle21">
    <w:name w:val="fontstyle21"/>
    <w:basedOn w:val="VarsaylanParagrafYazTipi"/>
    <w:rsid w:val="00CA1CD5"/>
    <w:rPr>
      <w:rFonts w:ascii="TimesNewRomanPSMT" w:hAnsi="TimesNewRomanPSMT" w:hint="default"/>
      <w:b w:val="0"/>
      <w:bCs w:val="0"/>
      <w:i w:val="0"/>
      <w:iCs w:val="0"/>
      <w:color w:val="000000"/>
      <w:sz w:val="22"/>
      <w:szCs w:val="22"/>
    </w:rPr>
  </w:style>
  <w:style w:type="character" w:customStyle="1" w:styleId="fontstyle01">
    <w:name w:val="fontstyle01"/>
    <w:basedOn w:val="VarsaylanParagrafYazTipi"/>
    <w:rsid w:val="00B533C2"/>
    <w:rPr>
      <w:rFonts w:ascii="TimesNewRomanPS-BoldMT" w:hAnsi="TimesNewRomanPS-BoldMT" w:hint="default"/>
      <w:b/>
      <w:bCs/>
      <w:i w:val="0"/>
      <w:iCs w:val="0"/>
      <w:color w:val="000000"/>
      <w:sz w:val="24"/>
      <w:szCs w:val="24"/>
    </w:rPr>
  </w:style>
  <w:style w:type="paragraph" w:styleId="ListeParagraf">
    <w:name w:val="List Paragraph"/>
    <w:basedOn w:val="Normal"/>
    <w:uiPriority w:val="34"/>
    <w:qFormat/>
    <w:rsid w:val="007139DA"/>
    <w:pPr>
      <w:spacing w:after="100" w:line="360" w:lineRule="auto"/>
      <w:ind w:left="720"/>
      <w:contextualSpacing/>
      <w:jc w:val="both"/>
    </w:pPr>
    <w:rPr>
      <w:rFonts w:ascii="Arial" w:eastAsia="Times New Roman" w:hAnsi="Arial" w:cs="Times New Roman"/>
      <w:sz w:val="24"/>
      <w:szCs w:val="24"/>
      <w:lang w:val="en-US" w:eastAsia="tr-TR"/>
    </w:rPr>
  </w:style>
  <w:style w:type="paragraph" w:customStyle="1" w:styleId="Default">
    <w:name w:val="Default"/>
    <w:rsid w:val="001302EA"/>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9791">
      <w:bodyDiv w:val="1"/>
      <w:marLeft w:val="0"/>
      <w:marRight w:val="0"/>
      <w:marTop w:val="0"/>
      <w:marBottom w:val="0"/>
      <w:divBdr>
        <w:top w:val="none" w:sz="0" w:space="0" w:color="auto"/>
        <w:left w:val="none" w:sz="0" w:space="0" w:color="auto"/>
        <w:bottom w:val="none" w:sz="0" w:space="0" w:color="auto"/>
        <w:right w:val="none" w:sz="0" w:space="0" w:color="auto"/>
      </w:divBdr>
    </w:div>
    <w:div w:id="402722661">
      <w:bodyDiv w:val="1"/>
      <w:marLeft w:val="0"/>
      <w:marRight w:val="0"/>
      <w:marTop w:val="0"/>
      <w:marBottom w:val="0"/>
      <w:divBdr>
        <w:top w:val="none" w:sz="0" w:space="0" w:color="auto"/>
        <w:left w:val="none" w:sz="0" w:space="0" w:color="auto"/>
        <w:bottom w:val="none" w:sz="0" w:space="0" w:color="auto"/>
        <w:right w:val="none" w:sz="0" w:space="0" w:color="auto"/>
      </w:divBdr>
    </w:div>
    <w:div w:id="410273221">
      <w:bodyDiv w:val="1"/>
      <w:marLeft w:val="0"/>
      <w:marRight w:val="0"/>
      <w:marTop w:val="0"/>
      <w:marBottom w:val="0"/>
      <w:divBdr>
        <w:top w:val="none" w:sz="0" w:space="0" w:color="auto"/>
        <w:left w:val="none" w:sz="0" w:space="0" w:color="auto"/>
        <w:bottom w:val="none" w:sz="0" w:space="0" w:color="auto"/>
        <w:right w:val="none" w:sz="0" w:space="0" w:color="auto"/>
      </w:divBdr>
    </w:div>
    <w:div w:id="13878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BF0D-3B9F-4103-B038-C56550DA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1232</Words>
  <Characters>7026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HINAY</dc:creator>
  <cp:lastModifiedBy>Asus</cp:lastModifiedBy>
  <cp:revision>4</cp:revision>
  <dcterms:created xsi:type="dcterms:W3CDTF">2023-02-27T07:12:00Z</dcterms:created>
  <dcterms:modified xsi:type="dcterms:W3CDTF">2023-02-27T10:49:00Z</dcterms:modified>
</cp:coreProperties>
</file>